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AB" w:rsidRPr="00895CDF" w:rsidRDefault="00F67CAB" w:rsidP="00F67CAB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DF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8" o:title=""/>
          </v:shape>
          <o:OLEObject Type="Embed" ProgID="PBrush" ShapeID="_x0000_i1025" DrawAspect="Content" ObjectID="_1619851584" r:id="rId9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F67CAB" w:rsidRPr="00895CDF" w:rsidTr="00F67CAB">
        <w:tc>
          <w:tcPr>
            <w:tcW w:w="204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7CAB" w:rsidRPr="00895CDF" w:rsidRDefault="00F67CAB" w:rsidP="00F67CAB">
            <w:pPr>
              <w:pStyle w:val="a6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CAB" w:rsidRPr="00895CDF" w:rsidRDefault="00F67CAB" w:rsidP="00F67CAB">
            <w:pPr>
              <w:pStyle w:val="a6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D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</w:t>
            </w:r>
          </w:p>
          <w:p w:rsidR="00F67CAB" w:rsidRPr="00895CDF" w:rsidRDefault="00F67CAB" w:rsidP="00F67CAB">
            <w:pPr>
              <w:pStyle w:val="a6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DF">
              <w:rPr>
                <w:rFonts w:ascii="Times New Roman" w:hAnsi="Times New Roman" w:cs="Times New Roman"/>
                <w:b/>
                <w:sz w:val="28"/>
                <w:szCs w:val="28"/>
              </w:rPr>
              <w:t>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7CAB" w:rsidRPr="00895CDF" w:rsidRDefault="00F67CAB" w:rsidP="00F67CAB">
            <w:pPr>
              <w:pStyle w:val="a6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7CAB" w:rsidRPr="00895CDF" w:rsidRDefault="00F67CAB" w:rsidP="00F67CAB">
            <w:pPr>
              <w:pStyle w:val="a6"/>
              <w:widowControl w:val="0"/>
              <w:ind w:left="45"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CAB" w:rsidRPr="00895CDF" w:rsidRDefault="00F67CAB" w:rsidP="00F67CAB">
            <w:pPr>
              <w:pStyle w:val="a6"/>
              <w:widowControl w:val="0"/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DF">
              <w:rPr>
                <w:rFonts w:ascii="Times New Roman" w:hAnsi="Times New Roman" w:cs="Times New Roman"/>
                <w:b/>
                <w:sz w:val="28"/>
                <w:szCs w:val="28"/>
              </w:rPr>
              <w:t>ОВЮР КОЖУУНУН ХЫНАЛДАЛЫГ САНАЛГА ОРГАНЫ</w:t>
            </w:r>
          </w:p>
        </w:tc>
      </w:tr>
    </w:tbl>
    <w:p w:rsidR="00F67CAB" w:rsidRDefault="00F67CAB" w:rsidP="00DF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5104" w:rsidRPr="007640D9" w:rsidRDefault="00DF5104" w:rsidP="00DF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40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</w:t>
      </w:r>
      <w:bookmarkStart w:id="0" w:name="_GoBack"/>
      <w:bookmarkEnd w:id="0"/>
    </w:p>
    <w:p w:rsidR="00DF5104" w:rsidRPr="007640D9" w:rsidRDefault="00DF5104" w:rsidP="00DF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0C8" w:rsidRDefault="00DF5104" w:rsidP="006210C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на проект решения 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Хурала представителей </w:t>
      </w:r>
      <w:proofErr w:type="spellStart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Овюрского</w:t>
      </w:r>
      <w:proofErr w:type="spellEnd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proofErr w:type="spellStart"/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кожууна</w:t>
      </w:r>
      <w:proofErr w:type="spellEnd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="00163B75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о 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внесени</w:t>
      </w:r>
      <w:r w:rsid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е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изменений в решение 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Хурала представителей </w:t>
      </w:r>
      <w:proofErr w:type="spellStart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Овюрского</w:t>
      </w:r>
      <w:proofErr w:type="spellEnd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proofErr w:type="spellStart"/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кожууна</w:t>
      </w:r>
      <w:proofErr w:type="spellEnd"/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«О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бюджет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е муниципального района «</w:t>
      </w:r>
      <w:proofErr w:type="spellStart"/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Овюрский</w:t>
      </w:r>
      <w:proofErr w:type="spellEnd"/>
      <w:r w:rsidR="00DA5B7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proofErr w:type="spellStart"/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кожуун</w:t>
      </w:r>
      <w:proofErr w:type="spellEnd"/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РТ» на 201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9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год и 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на плановый период 20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20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-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20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2</w:t>
      </w:r>
      <w:r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1 годов»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от 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18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>.12.201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9</w:t>
      </w:r>
      <w:r w:rsidR="00190176" w:rsidRPr="00A541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г №</w:t>
      </w:r>
      <w:r w:rsidR="006210C8">
        <w:rPr>
          <w:rFonts w:ascii="Times New Roman" w:eastAsia="Times New Roman" w:hAnsi="Times New Roman" w:cs="Times New Roman"/>
          <w:b/>
          <w:i/>
          <w:sz w:val="28"/>
          <w:lang w:eastAsia="ru-RU"/>
        </w:rPr>
        <w:t>160</w:t>
      </w:r>
    </w:p>
    <w:p w:rsidR="006210C8" w:rsidRDefault="00FA41AB" w:rsidP="006210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40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210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</w:p>
    <w:p w:rsidR="00DF5104" w:rsidRPr="00BF5314" w:rsidRDefault="00213CA3" w:rsidP="006210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5104" w:rsidRPr="00B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="00DF5104" w:rsidRPr="00B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04" w:rsidRPr="00B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C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5104" w:rsidRPr="00B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5104" w:rsidRPr="00B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DF5104" w:rsidRPr="00DF5104" w:rsidRDefault="00DF5104" w:rsidP="00DF5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F5104" w:rsidRPr="00FA41AB" w:rsidRDefault="00DF5104" w:rsidP="00A7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Заключение подготовлено на основании положений </w:t>
      </w:r>
      <w:proofErr w:type="gramStart"/>
      <w:r w:rsidRPr="00FA41AB">
        <w:rPr>
          <w:rFonts w:ascii="Times New Roman" w:eastAsia="Times New Roman" w:hAnsi="Times New Roman" w:cs="Times New Roman"/>
          <w:bCs/>
          <w:sz w:val="28"/>
          <w:szCs w:val="28"/>
        </w:rPr>
        <w:t>Бюджетного</w:t>
      </w:r>
      <w:proofErr w:type="gramEnd"/>
      <w:r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кодекса Российской Федерации, </w:t>
      </w:r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>положением «О контрольно-счетном органе муниципального района «</w:t>
      </w:r>
      <w:proofErr w:type="spellStart"/>
      <w:r w:rsidR="006210C8">
        <w:rPr>
          <w:rFonts w:ascii="Times New Roman" w:eastAsia="Times New Roman" w:hAnsi="Times New Roman" w:cs="Times New Roman"/>
          <w:bCs/>
          <w:sz w:val="28"/>
          <w:szCs w:val="28"/>
        </w:rPr>
        <w:t>Овюрский</w:t>
      </w:r>
      <w:proofErr w:type="spellEnd"/>
      <w:r w:rsidR="00AC7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>кожуун</w:t>
      </w:r>
      <w:proofErr w:type="spellEnd"/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Тыва», утвержденным решением Хурала представителей  муниципального района «</w:t>
      </w:r>
      <w:proofErr w:type="spellStart"/>
      <w:r w:rsidR="006210C8">
        <w:rPr>
          <w:rFonts w:ascii="Times New Roman" w:eastAsia="Times New Roman" w:hAnsi="Times New Roman" w:cs="Times New Roman"/>
          <w:bCs/>
          <w:sz w:val="28"/>
          <w:szCs w:val="28"/>
        </w:rPr>
        <w:t>Овюрский</w:t>
      </w:r>
      <w:proofErr w:type="spellEnd"/>
      <w:r w:rsidR="00AC7D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>кожуун</w:t>
      </w:r>
      <w:proofErr w:type="spellEnd"/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Тыва» от </w:t>
      </w:r>
      <w:r w:rsidR="00B5538C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B5538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B5538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№ </w:t>
      </w:r>
      <w:r w:rsidR="00B5538C">
        <w:rPr>
          <w:rFonts w:ascii="Times New Roman" w:eastAsia="Times New Roman" w:hAnsi="Times New Roman" w:cs="Times New Roman"/>
          <w:bCs/>
          <w:sz w:val="28"/>
          <w:szCs w:val="28"/>
        </w:rPr>
        <w:t>129</w:t>
      </w:r>
      <w:r w:rsidR="00DE248B" w:rsidRPr="00FA41A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A41AB"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материалам, представленным администрацией муниципального района </w:t>
      </w:r>
      <w:r w:rsidR="00DE248B" w:rsidRPr="00FA41A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="00AC7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41A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FA41AB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DE248B" w:rsidRPr="00FA41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4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104" w:rsidRPr="00FA41AB" w:rsidRDefault="00DF5104" w:rsidP="00A7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104" w:rsidRPr="00FA41AB" w:rsidRDefault="00DF5104" w:rsidP="00A769A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Общая характеристика предлагаемых изменений </w:t>
      </w:r>
      <w:r w:rsidR="00CA4AAD" w:rsidRPr="00FA41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доходной части</w:t>
      </w:r>
      <w:r w:rsidRPr="00FA41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бюджета.</w:t>
      </w:r>
    </w:p>
    <w:p w:rsidR="00DF5104" w:rsidRPr="00FA41AB" w:rsidRDefault="00DF5104" w:rsidP="00A769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04" w:rsidRPr="00FA41AB" w:rsidRDefault="00DF5104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вносимых изменений объём доходов бюджета в 201</w:t>
      </w:r>
      <w:r w:rsidR="00696F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7620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на </w:t>
      </w:r>
      <w:r w:rsidR="00696F37">
        <w:rPr>
          <w:rFonts w:ascii="Times New Roman" w:eastAsia="Times New Roman" w:hAnsi="Times New Roman" w:cs="Times New Roman"/>
          <w:sz w:val="28"/>
          <w:szCs w:val="28"/>
          <w:lang w:eastAsia="ru-RU"/>
        </w:rPr>
        <w:t>5377,40</w:t>
      </w:r>
      <w:r w:rsidR="00646E08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62FD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</w:t>
      </w:r>
      <w:r w:rsidR="00696F3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696F37">
        <w:rPr>
          <w:rFonts w:ascii="Times New Roman" w:eastAsia="Times New Roman" w:hAnsi="Times New Roman" w:cs="Times New Roman"/>
          <w:sz w:val="28"/>
          <w:szCs w:val="28"/>
          <w:lang w:eastAsia="ru-RU"/>
        </w:rPr>
        <w:t>480430,71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9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8365F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104" w:rsidRPr="00FA41AB" w:rsidRDefault="00DF5104" w:rsidP="00A769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динамике и структуре доходной части бюджета </w:t>
      </w:r>
      <w:r w:rsidR="007B0B37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37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приведены в таблице № 1.</w:t>
      </w:r>
    </w:p>
    <w:p w:rsidR="00DF5104" w:rsidRPr="00FA4334" w:rsidRDefault="00FB15BD" w:rsidP="00FA41A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334">
        <w:rPr>
          <w:rFonts w:ascii="Times New Roman" w:eastAsia="Times New Roman" w:hAnsi="Times New Roman" w:cs="Times New Roman"/>
          <w:i/>
          <w:sz w:val="24"/>
          <w:szCs w:val="24"/>
        </w:rPr>
        <w:t>Таблица №</w:t>
      </w:r>
      <w:r w:rsidR="00DF5104" w:rsidRPr="00FA4334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tbl>
      <w:tblPr>
        <w:tblW w:w="9953" w:type="dxa"/>
        <w:tblInd w:w="-601" w:type="dxa"/>
        <w:tblLayout w:type="fixed"/>
        <w:tblLook w:val="04A0"/>
      </w:tblPr>
      <w:tblGrid>
        <w:gridCol w:w="3038"/>
        <w:gridCol w:w="1417"/>
        <w:gridCol w:w="2208"/>
        <w:gridCol w:w="1559"/>
        <w:gridCol w:w="1731"/>
      </w:tblGrid>
      <w:tr w:rsidR="00DF5104" w:rsidRPr="00FA41AB" w:rsidTr="00C91349">
        <w:trPr>
          <w:trHeight w:val="270"/>
        </w:trPr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F5104" w:rsidRPr="00FA41AB" w:rsidRDefault="00DF5104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F5104" w:rsidRPr="00FA41AB" w:rsidRDefault="00D44296" w:rsidP="00D44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Утвержденный бюджет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F5104" w:rsidRPr="00FA41AB" w:rsidRDefault="008475A8" w:rsidP="00847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Предусмотрено проектом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5104" w:rsidRPr="00FA41AB" w:rsidRDefault="00600A7D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DF5104" w:rsidRPr="00FA41AB" w:rsidTr="00C91349">
        <w:trPr>
          <w:trHeight w:val="425"/>
        </w:trPr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FA41AB" w:rsidRDefault="00DF5104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FA41AB" w:rsidRDefault="00DF5104" w:rsidP="00A769AF">
            <w:pPr>
              <w:spacing w:line="240" w:lineRule="auto"/>
              <w:ind w:left="-1496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%</w:t>
            </w:r>
          </w:p>
        </w:tc>
      </w:tr>
      <w:tr w:rsidR="00DF5104" w:rsidRPr="00FA41AB" w:rsidTr="00C91349">
        <w:trPr>
          <w:trHeight w:val="425"/>
        </w:trPr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104" w:rsidRPr="00FA41AB" w:rsidRDefault="00DF5104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104" w:rsidRPr="00FA41AB" w:rsidTr="00C91349">
        <w:trPr>
          <w:trHeight w:val="267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FA41AB" w:rsidRDefault="001F4800" w:rsidP="001F48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32681,0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5104" w:rsidRPr="00FA41AB" w:rsidTr="00C91349">
        <w:trPr>
          <w:trHeight w:val="258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FA41AB" w:rsidRDefault="001F4800" w:rsidP="001F48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442372,32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+5377,40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DF5104" w:rsidRPr="00FA41AB" w:rsidTr="00C91349">
        <w:trPr>
          <w:trHeight w:val="411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5104" w:rsidRPr="00FA41AB" w:rsidRDefault="001F4800" w:rsidP="001F48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475053,32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480430,71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5377,40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F5104" w:rsidRPr="008E447A" w:rsidRDefault="00837C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+1,1</w:t>
            </w:r>
          </w:p>
        </w:tc>
      </w:tr>
    </w:tbl>
    <w:p w:rsidR="0074102F" w:rsidRDefault="00DF5104" w:rsidP="00A769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доходной части бюджета предполагается </w:t>
      </w:r>
      <w:r w:rsid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бюджета на сумму 23168,41 тыс. рублей, из них:</w:t>
      </w:r>
    </w:p>
    <w:p w:rsidR="00DF5104" w:rsidRPr="0074102F" w:rsidRDefault="0074102F" w:rsidP="0074102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поступлений собственных доходов на сумму 3064,0 тыс. рублей, увеличение обосновано с уменьшением предусмотренных сумм по </w:t>
      </w:r>
      <w:proofErr w:type="spellStart"/>
      <w:r w:rsidRP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сранению</w:t>
      </w:r>
      <w:proofErr w:type="spellEnd"/>
      <w:r w:rsidRP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аналогичным периодом;</w:t>
      </w:r>
    </w:p>
    <w:p w:rsidR="0074102F" w:rsidRPr="0074102F" w:rsidRDefault="0074102F" w:rsidP="0074102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безвозмездные поступления на основании Уведомления №06-01/07 о бюджетных ассигнованиях из республиканского бюджета на 2019-2021 гг. увеличились на 20104,41 тыс. </w:t>
      </w:r>
      <w:r w:rsidRP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Pr="00741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A2B02" w:rsidRPr="00FA41AB" w:rsidRDefault="0071392E" w:rsidP="00EA070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Уточненные средства собственных доходов в сторону увеличения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бюджетные ассигнования из республиканского бюджета Республики Тыва</w:t>
      </w:r>
      <w:r w:rsidR="0074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выплату фонда оплаты труда.</w:t>
      </w:r>
    </w:p>
    <w:p w:rsidR="00DF5104" w:rsidRPr="00FA41AB" w:rsidRDefault="009E06D6" w:rsidP="00A769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1A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Общая характеристика п</w:t>
      </w:r>
      <w:r w:rsidRPr="00FA41AB">
        <w:rPr>
          <w:rFonts w:ascii="Times New Roman" w:eastAsia="Times New Roman" w:hAnsi="Times New Roman" w:cs="Times New Roman"/>
          <w:b/>
          <w:sz w:val="28"/>
          <w:szCs w:val="28"/>
        </w:rPr>
        <w:t>редлагаемых изменений</w:t>
      </w:r>
      <w:r w:rsidR="00DF5104" w:rsidRPr="00FA41AB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D90E7D" w:rsidRPr="00FA41AB">
        <w:rPr>
          <w:rFonts w:ascii="Times New Roman" w:eastAsia="Times New Roman" w:hAnsi="Times New Roman" w:cs="Times New Roman"/>
          <w:b/>
          <w:bCs/>
          <w:sz w:val="28"/>
          <w:szCs w:val="28"/>
        </w:rPr>
        <w:t>асходной части б</w:t>
      </w:r>
      <w:r w:rsidR="00DF5104" w:rsidRPr="00FA4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юджета </w:t>
      </w:r>
    </w:p>
    <w:p w:rsidR="00DF5104" w:rsidRPr="00FA41AB" w:rsidRDefault="00DF5104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вносимых изменений общ</w:t>
      </w:r>
      <w:r w:rsidR="00EF6C2E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объём расходов бюджета в 201</w:t>
      </w:r>
      <w:r w:rsidR="00045F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C2E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07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увеличится на </w:t>
      </w:r>
      <w:r w:rsidR="0004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5377,40 </w:t>
      </w:r>
      <w:r w:rsidR="001A11E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571EFE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на </w:t>
      </w:r>
      <w:r w:rsidR="00045F9A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045F9A">
        <w:rPr>
          <w:rFonts w:ascii="Times New Roman" w:eastAsia="Times New Roman" w:hAnsi="Times New Roman" w:cs="Times New Roman"/>
          <w:sz w:val="28"/>
          <w:szCs w:val="28"/>
          <w:lang w:eastAsia="ru-RU"/>
        </w:rPr>
        <w:t>481735,43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73582" w:rsidRDefault="00C73582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динамике и структуре </w:t>
      </w:r>
      <w:r w:rsidR="001A11E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направлений 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на 2017 год приведены в таблице № 2.</w:t>
      </w:r>
    </w:p>
    <w:p w:rsidR="00FA4334" w:rsidRPr="00E17484" w:rsidRDefault="00FA4334" w:rsidP="00FA4334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7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 2</w:t>
      </w:r>
    </w:p>
    <w:tbl>
      <w:tblPr>
        <w:tblpPr w:leftFromText="180" w:rightFromText="180" w:vertAnchor="text" w:horzAnchor="margin" w:tblpXSpec="center" w:tblpY="451"/>
        <w:tblW w:w="10456" w:type="dxa"/>
        <w:tblLayout w:type="fixed"/>
        <w:tblLook w:val="04A0"/>
      </w:tblPr>
      <w:tblGrid>
        <w:gridCol w:w="3276"/>
        <w:gridCol w:w="1418"/>
        <w:gridCol w:w="1804"/>
        <w:gridCol w:w="1621"/>
        <w:gridCol w:w="2337"/>
      </w:tblGrid>
      <w:tr w:rsidR="001F4800" w:rsidRPr="00FA41AB" w:rsidTr="001F4800">
        <w:trPr>
          <w:trHeight w:val="27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Предусмотрено проектом</w:t>
            </w: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1F4800" w:rsidRPr="00FA41AB" w:rsidTr="001F4800">
        <w:trPr>
          <w:trHeight w:val="462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line="240" w:lineRule="auto"/>
              <w:ind w:left="-1496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%</w:t>
            </w:r>
          </w:p>
        </w:tc>
      </w:tr>
      <w:tr w:rsidR="001F4800" w:rsidRPr="00FA41AB" w:rsidTr="001F4800">
        <w:trPr>
          <w:trHeight w:val="409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800" w:rsidRPr="00FA41AB" w:rsidTr="001F4800">
        <w:trPr>
          <w:trHeight w:val="276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800" w:rsidRPr="00FA41AB" w:rsidRDefault="001F4800" w:rsidP="001F480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 «Социальная поддержка граждан в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Овюрском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кожууне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43548,73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48628,83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5080,10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DE24F5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E0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226,90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A81A6E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4710F0" w:rsidP="00A81A6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-1,3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«Содержание и развитие муниципального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BD5BA0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4624,37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BD5BA0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4619,37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BD5BA0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546C65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-0,1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 «Развитие сельского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335744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647,93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335744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335744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335744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«Совершенствование молодежной политики и развитие физической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E9731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2087,90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E9731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2076,80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E9731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9553B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-0,53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«Профилактика социально-значимых заболеваний,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вакцинопрофилактика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E643C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AE643C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AE643C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9553B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-1,9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 «Развитие образования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Овюрского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8672C9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319162,35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8672C9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319180,85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8672C9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976156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1A6E" w:rsidRPr="00FA41AB" w:rsidTr="00F67CAB">
        <w:trPr>
          <w:trHeight w:val="2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BA410E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49358,06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BA410E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49453,86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BA410E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DE24F5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97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A81A6E" w:rsidRPr="00FA41AB" w:rsidTr="00F67CAB">
        <w:trPr>
          <w:trHeight w:val="25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«Создание благоприятных условий для ведения бизнеса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1A6E" w:rsidRPr="00FA41AB" w:rsidTr="00F67CAB">
        <w:trPr>
          <w:trHeight w:val="25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«Развитие земельно-имущественных отношений и градостроительства на территории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Овюрского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901,70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127A41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DE24F5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97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22,1</w:t>
            </w:r>
          </w:p>
        </w:tc>
      </w:tr>
      <w:tr w:rsidR="00A81A6E" w:rsidRPr="00FA41AB" w:rsidTr="00E068FB">
        <w:trPr>
          <w:trHeight w:val="25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A81A6E" w:rsidRDefault="00A81A6E" w:rsidP="00F67C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«Профессиональная подготовка, переподготовка и повышение квалификации»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1A6E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1A6E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1A6E" w:rsidRPr="00FA41AB" w:rsidRDefault="00976156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-2,0</w:t>
            </w:r>
          </w:p>
        </w:tc>
      </w:tr>
      <w:tr w:rsidR="001F4800" w:rsidRPr="00FA41AB" w:rsidTr="00E068FB">
        <w:trPr>
          <w:trHeight w:val="2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4800" w:rsidRPr="00FA41AB" w:rsidRDefault="001F4800" w:rsidP="001F48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 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4800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476358,03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4800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481735,43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4800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5377,40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800" w:rsidRPr="00FA41AB" w:rsidRDefault="00E068FB" w:rsidP="00A81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</w:tbl>
    <w:p w:rsidR="00F02B29" w:rsidRPr="00FA41AB" w:rsidRDefault="00F02B29" w:rsidP="00A7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F12" w:rsidRPr="00FA41AB" w:rsidRDefault="00964F12" w:rsidP="00A7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D9F" w:rsidRPr="00FA41AB" w:rsidRDefault="00DF5104" w:rsidP="00A769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B">
        <w:rPr>
          <w:rFonts w:ascii="Times New Roman" w:eastAsia="Times New Roman" w:hAnsi="Times New Roman" w:cs="Times New Roman"/>
          <w:sz w:val="28"/>
          <w:szCs w:val="28"/>
        </w:rPr>
        <w:t xml:space="preserve">Данные о динамике и структуре расходной части бюджета на </w:t>
      </w:r>
      <w:r w:rsidR="003C7D5C" w:rsidRPr="00FA41A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761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F42088" w:rsidRPr="00FA41AB">
        <w:rPr>
          <w:rFonts w:ascii="Times New Roman" w:eastAsia="Times New Roman" w:hAnsi="Times New Roman" w:cs="Times New Roman"/>
          <w:sz w:val="28"/>
          <w:szCs w:val="28"/>
        </w:rPr>
        <w:t xml:space="preserve"> год приведены в таблице № 3</w:t>
      </w:r>
      <w:r w:rsidRPr="00FA4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F12" w:rsidRPr="00FA41AB" w:rsidRDefault="00964F12" w:rsidP="00A769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104" w:rsidRPr="00FA4334" w:rsidRDefault="00F42088" w:rsidP="001F48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334">
        <w:rPr>
          <w:rFonts w:ascii="Times New Roman" w:eastAsia="Times New Roman" w:hAnsi="Times New Roman" w:cs="Times New Roman"/>
          <w:i/>
          <w:sz w:val="24"/>
          <w:szCs w:val="24"/>
        </w:rPr>
        <w:t>Таблица № 3</w:t>
      </w:r>
    </w:p>
    <w:tbl>
      <w:tblPr>
        <w:tblW w:w="9918" w:type="dxa"/>
        <w:tblLayout w:type="fixed"/>
        <w:tblLook w:val="04A0"/>
      </w:tblPr>
      <w:tblGrid>
        <w:gridCol w:w="3687"/>
        <w:gridCol w:w="1416"/>
        <w:gridCol w:w="1801"/>
        <w:gridCol w:w="1619"/>
        <w:gridCol w:w="1395"/>
      </w:tblGrid>
      <w:tr w:rsidR="00777D9F" w:rsidRPr="00FA41AB" w:rsidTr="002D448E">
        <w:trPr>
          <w:trHeight w:val="270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77D9F" w:rsidRPr="001F4800" w:rsidRDefault="00F23F5C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77D9F" w:rsidRPr="001F4800" w:rsidRDefault="00777D9F" w:rsidP="00DE24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DE2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текущее уточнение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777D9F" w:rsidRPr="00FA41AB" w:rsidTr="002D448E">
        <w:trPr>
          <w:trHeight w:val="481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ind w:left="-1496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%</w:t>
            </w:r>
          </w:p>
        </w:tc>
      </w:tr>
      <w:tr w:rsidR="00777D9F" w:rsidRPr="00FA41AB" w:rsidTr="002D448E">
        <w:trPr>
          <w:trHeight w:val="425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9F" w:rsidRPr="00FA41AB" w:rsidTr="002D448E">
        <w:trPr>
          <w:trHeight w:val="425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D9F" w:rsidRPr="001F4800" w:rsidRDefault="00777D9F" w:rsidP="00A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9F" w:rsidRPr="00FA41AB" w:rsidTr="00F01A66">
        <w:trPr>
          <w:trHeight w:val="52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DE24F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32745,47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DE24F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32782,17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DE24F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+36,70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E71FFA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+0,1</w:t>
            </w:r>
          </w:p>
        </w:tc>
      </w:tr>
      <w:tr w:rsidR="00777D9F" w:rsidRPr="00FA41AB" w:rsidTr="002D448E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E0157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1081,20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E0157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1E7AAE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E60FF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77D9F" w:rsidRPr="00FA41AB" w:rsidTr="00F01A66">
        <w:trPr>
          <w:trHeight w:val="10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583EEC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1435,69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583EEC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1435,29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583EEC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583EEC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77D9F" w:rsidRPr="00FA41AB" w:rsidTr="002D448E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2516F7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5194,06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2516F7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5389,36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2516F7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+195,30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2516F7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+3,7</w:t>
            </w:r>
          </w:p>
        </w:tc>
      </w:tr>
      <w:tr w:rsidR="000E5543" w:rsidRPr="00FA41AB" w:rsidTr="002D448E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E5543" w:rsidRPr="001F4800" w:rsidRDefault="000E5543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543" w:rsidRPr="001F4800" w:rsidRDefault="000E5543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3669,0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543" w:rsidRPr="001F4800" w:rsidRDefault="000E5543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3664,0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5543" w:rsidRPr="001F4800" w:rsidRDefault="000E5543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E5543" w:rsidRPr="001F4800" w:rsidRDefault="000E5543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-0,2</w:t>
            </w:r>
          </w:p>
        </w:tc>
      </w:tr>
      <w:tr w:rsidR="00777D9F" w:rsidRPr="00FA41AB" w:rsidTr="002D448E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4F0CDF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315049,75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4F0CDF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315097,60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4F0CDF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+47,85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4F0CDF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77D9F" w:rsidRPr="00FA41AB" w:rsidTr="002D448E">
        <w:trPr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632D" w:rsidRPr="001F4800" w:rsidRDefault="007836EF" w:rsidP="001B63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49788,86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7836EF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49884,66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17723" w:rsidP="007836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783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17723" w:rsidP="007836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783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884A75" w:rsidRPr="00FA41AB" w:rsidTr="002D448E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84A75" w:rsidRPr="001F4800" w:rsidRDefault="00884A75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4A75" w:rsidRPr="001F4800" w:rsidRDefault="00884A7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4A75" w:rsidRPr="001F4800" w:rsidRDefault="00884A7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84A75" w:rsidRPr="001F4800" w:rsidRDefault="00884A7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84A75" w:rsidRPr="001F4800" w:rsidRDefault="00884A7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-2,0</w:t>
            </w:r>
          </w:p>
        </w:tc>
      </w:tr>
      <w:tr w:rsidR="00777D9F" w:rsidRPr="00FA41AB" w:rsidTr="002D448E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FD6000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49610,44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FD6000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D6000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+5080,10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D6000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A97381" w:rsidRPr="00FA41AB" w:rsidTr="002D448E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97381" w:rsidRPr="001F4800" w:rsidRDefault="00A97381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381" w:rsidRPr="001F4800" w:rsidRDefault="00A97381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381" w:rsidRPr="001F4800" w:rsidRDefault="00A97381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889,40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7381" w:rsidRPr="001F4800" w:rsidRDefault="00A97381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7381" w:rsidRPr="001F4800" w:rsidRDefault="00A97381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-1,23</w:t>
            </w:r>
          </w:p>
        </w:tc>
      </w:tr>
      <w:tr w:rsidR="00777D9F" w:rsidRPr="00FA41AB" w:rsidTr="002D448E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413B86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7D9F" w:rsidRPr="001F4800" w:rsidRDefault="00413B86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413B86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413B86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-40,82</w:t>
            </w:r>
          </w:p>
        </w:tc>
      </w:tr>
      <w:tr w:rsidR="009B35C2" w:rsidRPr="00FA41AB" w:rsidTr="002D448E">
        <w:trPr>
          <w:trHeight w:val="267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B35C2" w:rsidRPr="001F4800" w:rsidRDefault="009B35C2" w:rsidP="00A769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5C2" w:rsidRPr="001F4800" w:rsidRDefault="00C8669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16504,55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5C2" w:rsidRPr="001F4800" w:rsidRDefault="00C8669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16504,55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B35C2" w:rsidRPr="001F4800" w:rsidRDefault="009B35C2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B35C2" w:rsidRPr="001F4800" w:rsidRDefault="00E60FF5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77D9F" w:rsidRPr="00FA41AB" w:rsidTr="002D448E">
        <w:trPr>
          <w:trHeight w:val="258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7D9F" w:rsidRPr="001F4800" w:rsidRDefault="00777D9F" w:rsidP="00A769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 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77D9F" w:rsidRPr="001F4800" w:rsidRDefault="00C8669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476358,03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77D9F" w:rsidRPr="001F4800" w:rsidRDefault="00C8669B" w:rsidP="00A769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481735,43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23F5C" w:rsidP="00C866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C86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5377,40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7D9F" w:rsidRPr="001F4800" w:rsidRDefault="00F23F5C" w:rsidP="00C866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C86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1,12</w:t>
            </w:r>
          </w:p>
        </w:tc>
      </w:tr>
    </w:tbl>
    <w:p w:rsidR="00DF5104" w:rsidRPr="00FA41AB" w:rsidRDefault="00DF5104" w:rsidP="00A769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F0BB1" w:rsidRPr="00FA41AB" w:rsidRDefault="00600A7D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проект решения предусматривает увеличение расходов на </w:t>
      </w:r>
      <w:r w:rsidR="00E56556">
        <w:rPr>
          <w:rFonts w:ascii="Times New Roman" w:eastAsia="Times New Roman" w:hAnsi="Times New Roman" w:cs="Times New Roman"/>
          <w:sz w:val="28"/>
          <w:szCs w:val="28"/>
          <w:lang w:eastAsia="ru-RU"/>
        </w:rPr>
        <w:t>5377,40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3EA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54D8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распределены </w:t>
      </w:r>
      <w:r w:rsidR="00DF510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5D54D8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DF510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0D1" w:rsidRPr="001F4800" w:rsidRDefault="00AD2FDC" w:rsidP="001F480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01 </w:t>
      </w:r>
      <w:r w:rsidR="00DF5104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E707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</w:t>
      </w:r>
      <w:r w:rsidR="00F0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7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расходов</w:t>
      </w:r>
      <w:r w:rsidR="00D05F3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104,3</w:t>
      </w:r>
      <w:r w:rsidR="00F4179F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400D1" w:rsidRPr="001F4800" w:rsidRDefault="001400D1" w:rsidP="001F48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23A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F51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0104 </w:t>
      </w:r>
      <w:r w:rsidR="00DF51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37145B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</w:t>
      </w:r>
      <w:r w:rsidR="00F0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«Прочая закупка товаров, работ и услуг для государственных (муниципальных) нужд</w:t>
      </w:r>
      <w:r w:rsidR="0037145B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52E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752E3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</w:t>
      </w:r>
      <w:r w:rsidR="00C65692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F0BB1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32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1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DF51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по статье «Уплата налогов, сборов, обязательных платежей в бюджетную систему РФ, взносов и иных платежей» расходы </w:t>
      </w:r>
      <w:r w:rsidR="00E250B6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уменьшаются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95,8 тыс. рублей.</w:t>
      </w:r>
    </w:p>
    <w:p w:rsidR="00F05D53" w:rsidRPr="001F4800" w:rsidRDefault="001400D1" w:rsidP="001F48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23A04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 0106 «</w:t>
      </w:r>
      <w:r w:rsidR="00F05D5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деятельности финансовых, налоговых и таможенных органов и органов финансового (финансово-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бюджетного) надзора» 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«Закупка товаров, работ, услуг в сфере информационно-коммуникационных услуг» расходы </w:t>
      </w:r>
      <w:r w:rsidR="00E250B6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увеличиваются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83,5 тыс. рублей. А </w:t>
      </w:r>
      <w:r w:rsidR="0037145B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закупка товаров, работ и услуг для государственных (муниципальных) нужд»</w:t>
      </w:r>
      <w:r w:rsidR="005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2E3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752E3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</w:t>
      </w:r>
      <w:r w:rsidR="00C65692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F0BB1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7430E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50B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83,5 </w:t>
      </w:r>
      <w:r w:rsidR="00FF0BB1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400D1" w:rsidRPr="001F4800" w:rsidRDefault="00DF5104" w:rsidP="001F480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8064A2"/>
          <w:sz w:val="28"/>
          <w:szCs w:val="28"/>
          <w:lang w:eastAsia="ru-RU"/>
        </w:rPr>
      </w:pPr>
      <w:proofErr w:type="gramStart"/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05D53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разделу </w:t>
      </w:r>
      <w:r w:rsidR="00AD2FDC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</w:t>
      </w:r>
      <w:r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0BEA" w:rsidRPr="001F4800" w:rsidRDefault="001400D1" w:rsidP="001F48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8064A2"/>
          <w:sz w:val="28"/>
          <w:szCs w:val="28"/>
          <w:lang w:eastAsia="ru-RU"/>
        </w:rPr>
      </w:pPr>
      <w:r w:rsidRPr="001F4800">
        <w:rPr>
          <w:rFonts w:ascii="Times New Roman" w:eastAsia="Times New Roman" w:hAnsi="Times New Roman" w:cs="Times New Roman"/>
          <w:color w:val="8064A2"/>
          <w:sz w:val="28"/>
          <w:szCs w:val="28"/>
          <w:lang w:eastAsia="ru-RU"/>
        </w:rPr>
        <w:t>-</w:t>
      </w:r>
      <w:r w:rsidR="00823A04" w:rsidRPr="001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7707C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0405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707C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и рыболовство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статье </w:t>
      </w:r>
      <w:r w:rsidR="007707C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«Закупка товаров, работ, услуг в сфере информационно-коммуникационных услуг» расходы </w:t>
      </w:r>
      <w:r w:rsidR="007707C9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уменьшаются</w:t>
      </w:r>
      <w:r w:rsidR="007707C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31,1 тыс. рублей. По статье 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42A6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закупка товаров работ и услуг для государственных (муниципальных) нужд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</w:t>
      </w:r>
      <w:r w:rsidR="00CB0BEA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</w:t>
      </w:r>
      <w:r w:rsidR="00DE42A6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B0BEA" w:rsidRPr="001F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7707C9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сумму15 </w:t>
      </w:r>
      <w:r w:rsidR="00CB0BEA" w:rsidRP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B1200" w:rsidRPr="00FA41AB" w:rsidRDefault="00DF5104" w:rsidP="001F480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разделу </w:t>
      </w:r>
      <w:r w:rsidR="008B1200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</w:t>
      </w:r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1200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695E" w:rsidRPr="00FA41AB" w:rsidRDefault="008B1200" w:rsidP="001F48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4D8D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0709«Другие вопросы в области образования</w:t>
      </w:r>
      <w:r w:rsidR="00C54D8D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1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з</w:t>
      </w:r>
      <w:r w:rsidR="0005231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товаров, работ и услуг для государственных (муниципальных) нужд» </w:t>
      </w:r>
      <w:r w:rsidR="00DF510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DF5104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65692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величиваю</w:t>
      </w:r>
      <w:r w:rsidR="007527AD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8F2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10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150,4</w:t>
      </w:r>
      <w:r w:rsidR="0005231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35A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200" w:rsidRPr="00FA41AB" w:rsidRDefault="008B1200" w:rsidP="001F480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08 «Культура и кинематография»</w:t>
      </w:r>
    </w:p>
    <w:p w:rsidR="00DA695E" w:rsidRPr="00FA41AB" w:rsidRDefault="008B1200" w:rsidP="001F48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подразделу 0801 «Культура и искусство</w:t>
      </w:r>
      <w:proofErr w:type="gramStart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5A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035A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 «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</w:t>
      </w:r>
      <w:r w:rsidR="00DC2C38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 (муниципальных) услуг (выполнение работ)»</w:t>
      </w:r>
      <w:r w:rsidR="00A035A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DA695E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увеличиваются</w:t>
      </w:r>
      <w:r w:rsidR="00DC2C38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498,5</w:t>
      </w:r>
      <w:r w:rsidR="00DA695E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r w:rsidR="00BB3B8D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«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услуг (выполнение работ)» </w:t>
      </w:r>
      <w:r w:rsidR="00BB3B8D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DA695E"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увеличиваются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</w:t>
      </w:r>
      <w:r w:rsidR="00DA695E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4AB2" w:rsidRPr="00FA41AB" w:rsidRDefault="0027225C" w:rsidP="001F48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0804 «Другие вопросы в области культуры, кинематографии» по статье </w:t>
      </w:r>
      <w:r w:rsidR="0005231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200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з</w:t>
      </w:r>
      <w:r w:rsidR="0005231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акупка товаров, работ и услуг для государственных (муниципальных) нужд»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D54AB2" w:rsidRPr="00A3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уменьшаются на 1 тыс. рублей.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статье «Уплата налогов, сборов, обязательных платежей в бюджетную систему РФ, взносов и иных платежей» расходы </w:t>
      </w:r>
      <w:r w:rsidR="00D54AB2" w:rsidRPr="00A3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увеличиваются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B2" w:rsidRPr="00A3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тыс. рублей.</w:t>
      </w:r>
    </w:p>
    <w:p w:rsidR="00DF5104" w:rsidRPr="00FA41AB" w:rsidRDefault="00DF5104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вышеуказанных изменений уточненный п</w:t>
      </w:r>
      <w:r w:rsidR="002926B3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объем доходов бюджета муниципального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1851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4AB2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1851BC">
        <w:rPr>
          <w:rFonts w:ascii="Times New Roman" w:eastAsia="Times New Roman" w:hAnsi="Times New Roman" w:cs="Times New Roman"/>
          <w:sz w:val="28"/>
          <w:szCs w:val="28"/>
          <w:lang w:eastAsia="ru-RU"/>
        </w:rPr>
        <w:t>475053,32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уточненный плановый объем расходов бюджета </w:t>
      </w:r>
      <w:r w:rsidR="002926B3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1851BC">
        <w:rPr>
          <w:rFonts w:ascii="Times New Roman" w:eastAsia="Times New Roman" w:hAnsi="Times New Roman" w:cs="Times New Roman"/>
          <w:sz w:val="28"/>
          <w:szCs w:val="28"/>
          <w:lang w:eastAsia="ru-RU"/>
        </w:rPr>
        <w:t>480430,71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8F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составит </w:t>
      </w:r>
      <w:r w:rsidR="001851BC">
        <w:rPr>
          <w:rFonts w:ascii="Times New Roman" w:eastAsia="Times New Roman" w:hAnsi="Times New Roman" w:cs="Times New Roman"/>
          <w:sz w:val="28"/>
          <w:szCs w:val="28"/>
          <w:lang w:eastAsia="ru-RU"/>
        </w:rPr>
        <w:t>1304,70</w:t>
      </w: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45B8A" w:rsidRPr="00FA41AB" w:rsidRDefault="00645B8A" w:rsidP="00A769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45B8A" w:rsidRPr="00FA41AB" w:rsidRDefault="00645B8A" w:rsidP="00A769AF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zh-CN"/>
        </w:rPr>
      </w:pPr>
      <w:r w:rsidRPr="00FA41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основании выше изложенного, Контрольно-счетный</w:t>
      </w:r>
      <w:r w:rsidR="008F23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A41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орган муниципального района </w:t>
      </w:r>
      <w:proofErr w:type="spellStart"/>
      <w:r w:rsidR="006210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Овюрский</w:t>
      </w:r>
      <w:proofErr w:type="spellEnd"/>
      <w:r w:rsidR="008F23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FA41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кожуун</w:t>
      </w:r>
      <w:proofErr w:type="spellEnd"/>
      <w:r w:rsidRPr="00FA41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считает:</w:t>
      </w:r>
    </w:p>
    <w:p w:rsidR="00645B8A" w:rsidRPr="00FA41AB" w:rsidRDefault="00645B8A" w:rsidP="00873AE6">
      <w:pPr>
        <w:pStyle w:val="a3"/>
        <w:keepNext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A41AB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zh-CN"/>
        </w:rPr>
        <w:lastRenderedPageBreak/>
        <w:t xml:space="preserve">Представленный проект Решения соответствует </w:t>
      </w:r>
      <w:r w:rsidRPr="00FA41AB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zh-CN"/>
        </w:rPr>
        <w:t>нормам действующего бюджетного законодательства к формированию Решения о бюджете.</w:t>
      </w:r>
    </w:p>
    <w:p w:rsidR="00645B8A" w:rsidRPr="00FA41AB" w:rsidRDefault="00645B8A" w:rsidP="00AD6663">
      <w:pPr>
        <w:pStyle w:val="a3"/>
        <w:keepNext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proofErr w:type="gramStart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решения о внесении изменений в решение о бюджете района на текущий финансовый год</w:t>
      </w:r>
      <w:proofErr w:type="gramEnd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пояснительная записка представлена.</w:t>
      </w:r>
    </w:p>
    <w:p w:rsidR="00645B8A" w:rsidRPr="00FA41AB" w:rsidRDefault="00645B8A" w:rsidP="00A769AF">
      <w:pPr>
        <w:pStyle w:val="a3"/>
        <w:spacing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A4" w:rsidRPr="00FA41AB" w:rsidRDefault="00DF5104" w:rsidP="001F4800">
      <w:pPr>
        <w:spacing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Хурала представителей «О бюджете муниципального района «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1B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на 201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DD1547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3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67CB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3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A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данный проект Решения может быть рекомендован к рассмотрению </w:t>
      </w:r>
      <w:r w:rsidR="003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5A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Хуралу представителей муниципального района «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0B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65A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0E65A4"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Тыва».</w:t>
      </w:r>
      <w:proofErr w:type="gramEnd"/>
    </w:p>
    <w:p w:rsidR="00DF5104" w:rsidRPr="00FA41AB" w:rsidRDefault="00DF5104" w:rsidP="001F48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56C34" w:rsidRPr="00FA41AB" w:rsidRDefault="00DF5104" w:rsidP="001F48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DF5104" w:rsidRPr="00FA41AB" w:rsidRDefault="00456C34" w:rsidP="001F48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D67CB" w:rsidRPr="00FA41AB" w:rsidRDefault="00456C34" w:rsidP="001F48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1B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A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РТ»</w:t>
      </w:r>
      <w:r w:rsid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="003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DF5104" w:rsidRDefault="00DF5104" w:rsidP="00A769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5104" w:rsidSect="00C30F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E4" w:rsidRDefault="00575DE4" w:rsidP="007C70C3">
      <w:pPr>
        <w:spacing w:after="0" w:line="240" w:lineRule="auto"/>
      </w:pPr>
      <w:r>
        <w:separator/>
      </w:r>
    </w:p>
  </w:endnote>
  <w:endnote w:type="continuationSeparator" w:id="0">
    <w:p w:rsidR="00575DE4" w:rsidRDefault="00575DE4" w:rsidP="007C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AB" w:rsidRDefault="00F67C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957990"/>
      <w:docPartObj>
        <w:docPartGallery w:val="Page Numbers (Bottom of Page)"/>
        <w:docPartUnique/>
      </w:docPartObj>
    </w:sdtPr>
    <w:sdtContent>
      <w:p w:rsidR="00F67CAB" w:rsidRDefault="00E75FD9">
        <w:pPr>
          <w:pStyle w:val="a8"/>
          <w:jc w:val="center"/>
        </w:pPr>
        <w:fldSimple w:instr="PAGE   \* MERGEFORMAT">
          <w:r w:rsidR="00361A44">
            <w:rPr>
              <w:noProof/>
            </w:rPr>
            <w:t>1</w:t>
          </w:r>
        </w:fldSimple>
      </w:p>
    </w:sdtContent>
  </w:sdt>
  <w:p w:rsidR="00F67CAB" w:rsidRDefault="00F67C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AB" w:rsidRDefault="00F67C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E4" w:rsidRDefault="00575DE4" w:rsidP="007C70C3">
      <w:pPr>
        <w:spacing w:after="0" w:line="240" w:lineRule="auto"/>
      </w:pPr>
      <w:r>
        <w:separator/>
      </w:r>
    </w:p>
  </w:footnote>
  <w:footnote w:type="continuationSeparator" w:id="0">
    <w:p w:rsidR="00575DE4" w:rsidRDefault="00575DE4" w:rsidP="007C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AB" w:rsidRDefault="00F67C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AB" w:rsidRDefault="00F67C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AB" w:rsidRDefault="00F67C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470"/>
    <w:multiLevelType w:val="hybridMultilevel"/>
    <w:tmpl w:val="D0C6E682"/>
    <w:lvl w:ilvl="0" w:tplc="BE682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F9C"/>
    <w:multiLevelType w:val="hybridMultilevel"/>
    <w:tmpl w:val="06843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62210B"/>
    <w:multiLevelType w:val="hybridMultilevel"/>
    <w:tmpl w:val="D90411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F10BBE"/>
    <w:multiLevelType w:val="hybridMultilevel"/>
    <w:tmpl w:val="4698AE7A"/>
    <w:lvl w:ilvl="0" w:tplc="4CB8BC1C">
      <w:start w:val="1"/>
      <w:numFmt w:val="decimal"/>
      <w:lvlText w:val="%1."/>
      <w:lvlJc w:val="left"/>
      <w:pPr>
        <w:ind w:left="1428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451C1F"/>
    <w:multiLevelType w:val="hybridMultilevel"/>
    <w:tmpl w:val="E376E128"/>
    <w:lvl w:ilvl="0" w:tplc="4822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EC7"/>
    <w:multiLevelType w:val="hybridMultilevel"/>
    <w:tmpl w:val="89B69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75B8"/>
    <w:multiLevelType w:val="hybridMultilevel"/>
    <w:tmpl w:val="261083D4"/>
    <w:lvl w:ilvl="0" w:tplc="28466EDA">
      <w:start w:val="1"/>
      <w:numFmt w:val="decimal"/>
      <w:lvlText w:val="%1."/>
      <w:lvlJc w:val="left"/>
      <w:pPr>
        <w:ind w:left="1745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681"/>
    <w:rsid w:val="00000935"/>
    <w:rsid w:val="00005C09"/>
    <w:rsid w:val="00045F9A"/>
    <w:rsid w:val="0005231B"/>
    <w:rsid w:val="00060A43"/>
    <w:rsid w:val="00060F28"/>
    <w:rsid w:val="000B73CB"/>
    <w:rsid w:val="000C4670"/>
    <w:rsid w:val="000D5E97"/>
    <w:rsid w:val="000E5543"/>
    <w:rsid w:val="000E65A4"/>
    <w:rsid w:val="001011A6"/>
    <w:rsid w:val="00122420"/>
    <w:rsid w:val="00127A41"/>
    <w:rsid w:val="00130B3C"/>
    <w:rsid w:val="001400D1"/>
    <w:rsid w:val="00163B75"/>
    <w:rsid w:val="00177FED"/>
    <w:rsid w:val="0018004F"/>
    <w:rsid w:val="00180EA3"/>
    <w:rsid w:val="00181EC1"/>
    <w:rsid w:val="001851BC"/>
    <w:rsid w:val="00190176"/>
    <w:rsid w:val="001A11EB"/>
    <w:rsid w:val="001B2673"/>
    <w:rsid w:val="001B303E"/>
    <w:rsid w:val="001B632D"/>
    <w:rsid w:val="001E0670"/>
    <w:rsid w:val="001E41E3"/>
    <w:rsid w:val="001E7AAE"/>
    <w:rsid w:val="001F0072"/>
    <w:rsid w:val="001F4800"/>
    <w:rsid w:val="00213CA3"/>
    <w:rsid w:val="002360E1"/>
    <w:rsid w:val="00237BDD"/>
    <w:rsid w:val="00244BB2"/>
    <w:rsid w:val="002516F7"/>
    <w:rsid w:val="002532C2"/>
    <w:rsid w:val="00256CC2"/>
    <w:rsid w:val="0027225C"/>
    <w:rsid w:val="002778CA"/>
    <w:rsid w:val="00286CEA"/>
    <w:rsid w:val="002926B3"/>
    <w:rsid w:val="002D448E"/>
    <w:rsid w:val="002F0D1A"/>
    <w:rsid w:val="002F3A85"/>
    <w:rsid w:val="002F41EF"/>
    <w:rsid w:val="00303C52"/>
    <w:rsid w:val="00324AC7"/>
    <w:rsid w:val="00335744"/>
    <w:rsid w:val="003369DE"/>
    <w:rsid w:val="003503A1"/>
    <w:rsid w:val="00351681"/>
    <w:rsid w:val="003617C3"/>
    <w:rsid w:val="00361A44"/>
    <w:rsid w:val="00363BA3"/>
    <w:rsid w:val="0037096C"/>
    <w:rsid w:val="0037145B"/>
    <w:rsid w:val="0038721E"/>
    <w:rsid w:val="00387E5A"/>
    <w:rsid w:val="00387F59"/>
    <w:rsid w:val="003A5AE4"/>
    <w:rsid w:val="003B0456"/>
    <w:rsid w:val="003B4125"/>
    <w:rsid w:val="003C7D5C"/>
    <w:rsid w:val="003D7945"/>
    <w:rsid w:val="00405D1A"/>
    <w:rsid w:val="00413B86"/>
    <w:rsid w:val="004161D4"/>
    <w:rsid w:val="00423D89"/>
    <w:rsid w:val="00432A49"/>
    <w:rsid w:val="00434423"/>
    <w:rsid w:val="00441C7B"/>
    <w:rsid w:val="00451161"/>
    <w:rsid w:val="00451439"/>
    <w:rsid w:val="00451FF8"/>
    <w:rsid w:val="0045465C"/>
    <w:rsid w:val="00456C34"/>
    <w:rsid w:val="004621ED"/>
    <w:rsid w:val="00467030"/>
    <w:rsid w:val="004710F0"/>
    <w:rsid w:val="00477054"/>
    <w:rsid w:val="00484044"/>
    <w:rsid w:val="004858BA"/>
    <w:rsid w:val="004A20A7"/>
    <w:rsid w:val="004B2DA5"/>
    <w:rsid w:val="004B3DC4"/>
    <w:rsid w:val="004C18B0"/>
    <w:rsid w:val="004C4317"/>
    <w:rsid w:val="004D2D07"/>
    <w:rsid w:val="004F0CDF"/>
    <w:rsid w:val="004F716B"/>
    <w:rsid w:val="005062EA"/>
    <w:rsid w:val="00517518"/>
    <w:rsid w:val="005339A5"/>
    <w:rsid w:val="00533B68"/>
    <w:rsid w:val="00546C65"/>
    <w:rsid w:val="00571EFE"/>
    <w:rsid w:val="0057363E"/>
    <w:rsid w:val="00575DE4"/>
    <w:rsid w:val="00583EEC"/>
    <w:rsid w:val="00586AF4"/>
    <w:rsid w:val="0059496B"/>
    <w:rsid w:val="005A2B02"/>
    <w:rsid w:val="005A35AB"/>
    <w:rsid w:val="005B6E78"/>
    <w:rsid w:val="005C63EA"/>
    <w:rsid w:val="005D54D8"/>
    <w:rsid w:val="005E48B3"/>
    <w:rsid w:val="005F43EF"/>
    <w:rsid w:val="00600A7D"/>
    <w:rsid w:val="006210C8"/>
    <w:rsid w:val="00625211"/>
    <w:rsid w:val="006426BE"/>
    <w:rsid w:val="00645B8A"/>
    <w:rsid w:val="006465FB"/>
    <w:rsid w:val="00646E08"/>
    <w:rsid w:val="0065067A"/>
    <w:rsid w:val="00676AA2"/>
    <w:rsid w:val="0068742D"/>
    <w:rsid w:val="00693D29"/>
    <w:rsid w:val="00696F37"/>
    <w:rsid w:val="006A49B5"/>
    <w:rsid w:val="006F3A05"/>
    <w:rsid w:val="00700214"/>
    <w:rsid w:val="0071392E"/>
    <w:rsid w:val="007146B7"/>
    <w:rsid w:val="0073440D"/>
    <w:rsid w:val="0074102F"/>
    <w:rsid w:val="007430E9"/>
    <w:rsid w:val="00751EB1"/>
    <w:rsid w:val="007527AD"/>
    <w:rsid w:val="007640D9"/>
    <w:rsid w:val="007707C9"/>
    <w:rsid w:val="00777D9F"/>
    <w:rsid w:val="0078365F"/>
    <w:rsid w:val="007836EF"/>
    <w:rsid w:val="00787620"/>
    <w:rsid w:val="0079285A"/>
    <w:rsid w:val="007B0B37"/>
    <w:rsid w:val="007B3E13"/>
    <w:rsid w:val="007C70C3"/>
    <w:rsid w:val="007E7073"/>
    <w:rsid w:val="008053FC"/>
    <w:rsid w:val="008079A2"/>
    <w:rsid w:val="00823A04"/>
    <w:rsid w:val="00837CC2"/>
    <w:rsid w:val="008445D3"/>
    <w:rsid w:val="008475A8"/>
    <w:rsid w:val="00865681"/>
    <w:rsid w:val="008672C9"/>
    <w:rsid w:val="00873AE6"/>
    <w:rsid w:val="00884A75"/>
    <w:rsid w:val="00895CDF"/>
    <w:rsid w:val="008978A8"/>
    <w:rsid w:val="008B1200"/>
    <w:rsid w:val="008B2E32"/>
    <w:rsid w:val="008B54EF"/>
    <w:rsid w:val="008D126B"/>
    <w:rsid w:val="008D236A"/>
    <w:rsid w:val="008E447A"/>
    <w:rsid w:val="008F2388"/>
    <w:rsid w:val="0090088E"/>
    <w:rsid w:val="0094284B"/>
    <w:rsid w:val="00950844"/>
    <w:rsid w:val="009553B1"/>
    <w:rsid w:val="00964F12"/>
    <w:rsid w:val="00976156"/>
    <w:rsid w:val="00992D85"/>
    <w:rsid w:val="00992EBC"/>
    <w:rsid w:val="009955C6"/>
    <w:rsid w:val="009B1884"/>
    <w:rsid w:val="009B2E79"/>
    <w:rsid w:val="009B35C2"/>
    <w:rsid w:val="009C24AD"/>
    <w:rsid w:val="009C5739"/>
    <w:rsid w:val="009E06D6"/>
    <w:rsid w:val="009F7A9A"/>
    <w:rsid w:val="00A017C5"/>
    <w:rsid w:val="00A035AB"/>
    <w:rsid w:val="00A05A00"/>
    <w:rsid w:val="00A27522"/>
    <w:rsid w:val="00A356C9"/>
    <w:rsid w:val="00A43895"/>
    <w:rsid w:val="00A5238A"/>
    <w:rsid w:val="00A541B6"/>
    <w:rsid w:val="00A66DE5"/>
    <w:rsid w:val="00A70E8F"/>
    <w:rsid w:val="00A725FA"/>
    <w:rsid w:val="00A769AF"/>
    <w:rsid w:val="00A81A6E"/>
    <w:rsid w:val="00A9018E"/>
    <w:rsid w:val="00A97381"/>
    <w:rsid w:val="00AC2C66"/>
    <w:rsid w:val="00AC7D09"/>
    <w:rsid w:val="00AD039E"/>
    <w:rsid w:val="00AD2FDC"/>
    <w:rsid w:val="00AD6663"/>
    <w:rsid w:val="00AE643C"/>
    <w:rsid w:val="00B0510B"/>
    <w:rsid w:val="00B16F4E"/>
    <w:rsid w:val="00B30BE0"/>
    <w:rsid w:val="00B34AB9"/>
    <w:rsid w:val="00B452FA"/>
    <w:rsid w:val="00B5538C"/>
    <w:rsid w:val="00B57CFD"/>
    <w:rsid w:val="00BA137A"/>
    <w:rsid w:val="00BA410E"/>
    <w:rsid w:val="00BB3B8D"/>
    <w:rsid w:val="00BD5BA0"/>
    <w:rsid w:val="00BD67CB"/>
    <w:rsid w:val="00BF1BA0"/>
    <w:rsid w:val="00BF5314"/>
    <w:rsid w:val="00C13403"/>
    <w:rsid w:val="00C30F23"/>
    <w:rsid w:val="00C35F54"/>
    <w:rsid w:val="00C45E35"/>
    <w:rsid w:val="00C54D8D"/>
    <w:rsid w:val="00C57E66"/>
    <w:rsid w:val="00C65692"/>
    <w:rsid w:val="00C73582"/>
    <w:rsid w:val="00C82215"/>
    <w:rsid w:val="00C82BB7"/>
    <w:rsid w:val="00C8669B"/>
    <w:rsid w:val="00C91349"/>
    <w:rsid w:val="00C92C63"/>
    <w:rsid w:val="00C962FD"/>
    <w:rsid w:val="00CA4AAD"/>
    <w:rsid w:val="00CB0BEA"/>
    <w:rsid w:val="00CB2E4B"/>
    <w:rsid w:val="00CF0F41"/>
    <w:rsid w:val="00D000A2"/>
    <w:rsid w:val="00D05F33"/>
    <w:rsid w:val="00D258F3"/>
    <w:rsid w:val="00D42A08"/>
    <w:rsid w:val="00D44296"/>
    <w:rsid w:val="00D44972"/>
    <w:rsid w:val="00D4505A"/>
    <w:rsid w:val="00D54AB2"/>
    <w:rsid w:val="00D65A84"/>
    <w:rsid w:val="00D80C36"/>
    <w:rsid w:val="00D90E7D"/>
    <w:rsid w:val="00D93886"/>
    <w:rsid w:val="00DA5B78"/>
    <w:rsid w:val="00DA695E"/>
    <w:rsid w:val="00DC2C38"/>
    <w:rsid w:val="00DD1547"/>
    <w:rsid w:val="00DE248B"/>
    <w:rsid w:val="00DE24F5"/>
    <w:rsid w:val="00DE42A6"/>
    <w:rsid w:val="00DF5104"/>
    <w:rsid w:val="00E0157B"/>
    <w:rsid w:val="00E068FB"/>
    <w:rsid w:val="00E17484"/>
    <w:rsid w:val="00E20582"/>
    <w:rsid w:val="00E250B6"/>
    <w:rsid w:val="00E31CFA"/>
    <w:rsid w:val="00E56556"/>
    <w:rsid w:val="00E60FF5"/>
    <w:rsid w:val="00E71FFA"/>
    <w:rsid w:val="00E752E3"/>
    <w:rsid w:val="00E75FD9"/>
    <w:rsid w:val="00E9731B"/>
    <w:rsid w:val="00E977C3"/>
    <w:rsid w:val="00EA0703"/>
    <w:rsid w:val="00EA18FA"/>
    <w:rsid w:val="00EA67AE"/>
    <w:rsid w:val="00EB1216"/>
    <w:rsid w:val="00EB28AA"/>
    <w:rsid w:val="00ED274B"/>
    <w:rsid w:val="00EF6C2E"/>
    <w:rsid w:val="00F01A66"/>
    <w:rsid w:val="00F02B29"/>
    <w:rsid w:val="00F05D53"/>
    <w:rsid w:val="00F15C44"/>
    <w:rsid w:val="00F17723"/>
    <w:rsid w:val="00F23F5C"/>
    <w:rsid w:val="00F331D0"/>
    <w:rsid w:val="00F4137F"/>
    <w:rsid w:val="00F4179F"/>
    <w:rsid w:val="00F42088"/>
    <w:rsid w:val="00F60184"/>
    <w:rsid w:val="00F67CAB"/>
    <w:rsid w:val="00F74B3D"/>
    <w:rsid w:val="00FA41AB"/>
    <w:rsid w:val="00FA4334"/>
    <w:rsid w:val="00FB15BD"/>
    <w:rsid w:val="00FD6000"/>
    <w:rsid w:val="00FF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0C3"/>
  </w:style>
  <w:style w:type="paragraph" w:styleId="a8">
    <w:name w:val="footer"/>
    <w:basedOn w:val="a"/>
    <w:link w:val="a9"/>
    <w:uiPriority w:val="99"/>
    <w:unhideWhenUsed/>
    <w:rsid w:val="007C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0C3"/>
  </w:style>
  <w:style w:type="paragraph" w:styleId="a8">
    <w:name w:val="footer"/>
    <w:basedOn w:val="a"/>
    <w:link w:val="a9"/>
    <w:uiPriority w:val="99"/>
    <w:unhideWhenUsed/>
    <w:rsid w:val="007C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BE81-68B5-4E1D-9814-F26F3E5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4</cp:revision>
  <cp:lastPrinted>2019-05-20T03:00:00Z</cp:lastPrinted>
  <dcterms:created xsi:type="dcterms:W3CDTF">2019-05-17T07:49:00Z</dcterms:created>
  <dcterms:modified xsi:type="dcterms:W3CDTF">2019-05-20T03:00:00Z</dcterms:modified>
</cp:coreProperties>
</file>