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592"/>
        <w:gridCol w:w="80"/>
        <w:gridCol w:w="999"/>
        <w:gridCol w:w="24"/>
        <w:gridCol w:w="173"/>
        <w:gridCol w:w="1248"/>
        <w:gridCol w:w="1839"/>
        <w:gridCol w:w="21"/>
        <w:gridCol w:w="121"/>
        <w:gridCol w:w="851"/>
        <w:gridCol w:w="850"/>
        <w:gridCol w:w="6"/>
        <w:gridCol w:w="141"/>
        <w:gridCol w:w="938"/>
        <w:gridCol w:w="335"/>
        <w:gridCol w:w="64"/>
        <w:gridCol w:w="861"/>
        <w:gridCol w:w="1138"/>
        <w:gridCol w:w="630"/>
        <w:gridCol w:w="280"/>
        <w:gridCol w:w="571"/>
        <w:gridCol w:w="995"/>
      </w:tblGrid>
      <w:tr w:rsidR="00645B16" w:rsidRPr="00B06DD6" w:rsidTr="009E01E1">
        <w:trPr>
          <w:trHeight w:val="252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9E01E1">
        <w:trPr>
          <w:trHeight w:val="252"/>
        </w:trPr>
        <w:tc>
          <w:tcPr>
            <w:tcW w:w="144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645B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DD6">
              <w:rPr>
                <w:b/>
                <w:bCs/>
                <w:color w:val="000000"/>
                <w:sz w:val="22"/>
                <w:szCs w:val="22"/>
              </w:rPr>
              <w:t xml:space="preserve">Мероприятия Стратегии социально-экономического развития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сумон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Солчурский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b/>
                <w:bCs/>
                <w:color w:val="000000"/>
                <w:sz w:val="22"/>
                <w:szCs w:val="22"/>
              </w:rPr>
              <w:t xml:space="preserve"> до 2030 года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5B16" w:rsidRPr="00B06DD6" w:rsidTr="009E01E1">
        <w:trPr>
          <w:trHeight w:val="252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9E01E1">
        <w:trPr>
          <w:trHeight w:val="7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Объемы финансирования (тыс. рублей)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Информация</w:t>
            </w:r>
          </w:p>
        </w:tc>
      </w:tr>
      <w:tr w:rsidR="00645B16" w:rsidRPr="00B06DD6" w:rsidTr="009E01E1">
        <w:trPr>
          <w:trHeight w:val="25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DD6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5B16" w:rsidRPr="00B06DD6" w:rsidTr="009E01E1">
        <w:trPr>
          <w:trHeight w:val="111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1.Разработка ПСД МБООУ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2023-2024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6DD6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Республики Тыва</w:t>
            </w:r>
            <w:r>
              <w:rPr>
                <w:color w:val="000000"/>
                <w:sz w:val="22"/>
                <w:szCs w:val="22"/>
              </w:rPr>
              <w:t xml:space="preserve">, Минстрой Республики Тыва, 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сумона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  <w:r>
              <w:rPr>
                <w:color w:val="000000"/>
                <w:sz w:val="22"/>
                <w:szCs w:val="22"/>
              </w:rPr>
              <w:t>, Директор МБОУ ССОШ.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Разрабатывается смета капитального ремонта данной общеобразовательной организации.</w:t>
            </w:r>
            <w:r>
              <w:rPr>
                <w:color w:val="000000"/>
                <w:sz w:val="22"/>
                <w:szCs w:val="22"/>
              </w:rPr>
              <w:t xml:space="preserve"> Выявляется земельный участок для строительства.</w:t>
            </w:r>
          </w:p>
        </w:tc>
      </w:tr>
      <w:tr w:rsidR="00645B16" w:rsidRPr="00B06DD6" w:rsidTr="009E01E1">
        <w:trPr>
          <w:trHeight w:val="110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B06DD6">
              <w:rPr>
                <w:color w:val="000000"/>
                <w:sz w:val="22"/>
                <w:szCs w:val="22"/>
              </w:rPr>
              <w:t xml:space="preserve">Строительство  Образовательной  школы с.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на 176 мест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2025-2026гг.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6DD6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Республики Тыва, Минстрой Республики Тыва, 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Выявлено техническое состояние конструкций старой школы. Разрабатывается смета капитального ремонта данной общеобразовательной организации.</w:t>
            </w:r>
          </w:p>
        </w:tc>
      </w:tr>
      <w:tr w:rsidR="00645B16" w:rsidRPr="00B06DD6" w:rsidTr="009E01E1">
        <w:trPr>
          <w:trHeight w:val="8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Капитальный ремонт старого здания МБДОУ д/с «</w:t>
            </w:r>
            <w:proofErr w:type="spellStart"/>
            <w:r>
              <w:rPr>
                <w:color w:val="000000"/>
                <w:sz w:val="22"/>
                <w:szCs w:val="22"/>
              </w:rPr>
              <w:t>Салгакчы»с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2023-2026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6DD6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Республики Тыва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B06DD6">
              <w:rPr>
                <w:color w:val="000000"/>
                <w:sz w:val="22"/>
                <w:szCs w:val="22"/>
              </w:rPr>
              <w:t xml:space="preserve">Минстрой Республики Тыва, 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Разрабатывается ПСД.</w:t>
            </w:r>
          </w:p>
        </w:tc>
      </w:tr>
      <w:tr w:rsidR="00645B16" w:rsidRPr="00B06DD6" w:rsidTr="009E01E1">
        <w:trPr>
          <w:trHeight w:val="112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06DD6">
              <w:rPr>
                <w:color w:val="000000"/>
                <w:sz w:val="22"/>
                <w:szCs w:val="22"/>
              </w:rPr>
              <w:t xml:space="preserve">.Капитальный ремонт спортивного зала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Солчурской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06DD6">
              <w:rPr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Республики Тыва, Минстрой Республики Тыва, 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Pr="009F5B7E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F5B7E">
              <w:rPr>
                <w:color w:val="000000"/>
                <w:sz w:val="22"/>
                <w:szCs w:val="22"/>
              </w:rPr>
              <w:t xml:space="preserve">Капитальный ремонт спортивного зала </w:t>
            </w:r>
            <w:proofErr w:type="spellStart"/>
            <w:r w:rsidRPr="009F5B7E">
              <w:rPr>
                <w:color w:val="000000"/>
                <w:sz w:val="22"/>
                <w:szCs w:val="22"/>
              </w:rPr>
              <w:t>Солчурской</w:t>
            </w:r>
            <w:proofErr w:type="spellEnd"/>
            <w:r w:rsidRPr="009F5B7E">
              <w:rPr>
                <w:color w:val="000000"/>
                <w:sz w:val="22"/>
                <w:szCs w:val="22"/>
              </w:rPr>
              <w:t xml:space="preserve"> СОШ </w:t>
            </w:r>
            <w:r>
              <w:rPr>
                <w:color w:val="000000"/>
                <w:sz w:val="22"/>
                <w:szCs w:val="22"/>
              </w:rPr>
              <w:t xml:space="preserve">завершено 31.08.2018г. Максимальная цена контракта 2378000руб. размер обеспечения исполнения контракта 5% от максимальной суммы контракта составляет 118900 руб. </w:t>
            </w:r>
          </w:p>
        </w:tc>
      </w:tr>
      <w:tr w:rsidR="00645B16" w:rsidRPr="00B06DD6" w:rsidTr="009E01E1">
        <w:trPr>
          <w:trHeight w:val="26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9E01E1">
        <w:trPr>
          <w:trHeight w:val="55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9E01E1">
        <w:trPr>
          <w:trHeight w:val="13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lastRenderedPageBreak/>
              <w:t xml:space="preserve">1.Разработка ПСД на капитальный ремонт СДК с.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2018-2019гг.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культуры Республики Тыва,</w:t>
            </w:r>
          </w:p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Pr="001E60BE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Проектно- сметная документация разработана в феврале 2020 года. Разработчик ПСД- ПСБ «Силикат» .</w:t>
            </w:r>
          </w:p>
        </w:tc>
      </w:tr>
      <w:tr w:rsidR="00645B16" w:rsidRPr="00B06DD6" w:rsidTr="009E01E1">
        <w:trPr>
          <w:trHeight w:val="1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DD6">
              <w:rPr>
                <w:color w:val="000000"/>
                <w:sz w:val="22"/>
                <w:szCs w:val="22"/>
              </w:rPr>
              <w:t xml:space="preserve">. капитальный ремонт СДК с.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2020-2022гг.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культуры Республики Тыва,</w:t>
            </w:r>
          </w:p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0D70C3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70C3">
              <w:rPr>
                <w:color w:val="000000"/>
                <w:sz w:val="22"/>
                <w:szCs w:val="22"/>
              </w:rPr>
              <w:t>Нацпроект «Культура»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Pr="001E60BE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СДК с.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завершен в ноябре 2020г. </w:t>
            </w:r>
          </w:p>
        </w:tc>
      </w:tr>
      <w:tr w:rsidR="00645B16" w:rsidRPr="00B06DD6" w:rsidTr="009E01E1">
        <w:trPr>
          <w:trHeight w:val="125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B06DD6">
              <w:rPr>
                <w:color w:val="000000"/>
                <w:sz w:val="22"/>
                <w:szCs w:val="22"/>
              </w:rPr>
              <w:t>.Приобретение оборудования для 4 СДК (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Саглы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Сарыг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-Холь,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Хандагайты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2018-2020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культуры Республики Тыва,</w:t>
            </w:r>
          </w:p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Приобретены зрительские кресла в количестве 200 шт. при поддержке Министерство культуры Республики Тыва.</w:t>
            </w:r>
          </w:p>
          <w:p w:rsidR="00645B1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04.06.2020г. приобретены материалы для пошива одежды на общую сумму 110152,83р.</w:t>
            </w:r>
          </w:p>
          <w:p w:rsidR="00645B16" w:rsidRPr="009F54CE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 Министерством культуры и УК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07.05.2020г. переданы оборудования на общую сумму 278609,45руб.</w:t>
            </w:r>
          </w:p>
        </w:tc>
      </w:tr>
      <w:tr w:rsidR="00645B16" w:rsidRPr="00B06DD6" w:rsidTr="009E01E1">
        <w:trPr>
          <w:trHeight w:val="34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Спорт и молодежь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5B16" w:rsidRPr="00B06DD6" w:rsidTr="009E01E1">
        <w:trPr>
          <w:trHeight w:val="14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06DD6">
              <w:rPr>
                <w:color w:val="000000"/>
                <w:sz w:val="22"/>
                <w:szCs w:val="22"/>
              </w:rPr>
              <w:t xml:space="preserve">.Строительство спортивного плоскостного сооружения в с.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2018-2021</w:t>
            </w:r>
            <w:r w:rsidRPr="00B06DD6">
              <w:rPr>
                <w:color w:val="000000"/>
                <w:sz w:val="22"/>
                <w:szCs w:val="22"/>
              </w:rPr>
              <w:t>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спорта и молодежи РТ;</w:t>
            </w:r>
          </w:p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645B16" w:rsidRPr="00B06DD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СПС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0D70C3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D70C3">
              <w:rPr>
                <w:color w:val="000000"/>
                <w:sz w:val="22"/>
                <w:szCs w:val="22"/>
              </w:rPr>
              <w:t>Губернаторский проект «Гнездо орлят»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Pr="00B06DD6" w:rsidRDefault="00645B16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B16" w:rsidRDefault="00645B16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645B1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Строительство борцовского зала «Гнездо Орлят» завершен 20.12.2021г. торжественное открытие зала состоялось 28.12.2021г. Из бюджета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сумона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были выделены 12000р на выполнение кадастровых работ по изготовлению межевого плана ИП </w:t>
            </w:r>
            <w:proofErr w:type="spellStart"/>
            <w:r>
              <w:rPr>
                <w:color w:val="000000"/>
                <w:sz w:val="22"/>
                <w:szCs w:val="22"/>
              </w:rPr>
              <w:t>Кенен-оол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К.А. Из местного бюджета на строительство данного проекта выделено 300000р (Администрация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>
              <w:rPr>
                <w:color w:val="000000"/>
                <w:sz w:val="22"/>
                <w:szCs w:val="22"/>
              </w:rPr>
              <w:t>). Министерство спорта РТ обеспечивал строительными материалами.</w:t>
            </w:r>
          </w:p>
          <w:p w:rsidR="00645B16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Малый спортивный зал был построен методом народного способа (при поддержке жителей </w:t>
            </w:r>
            <w:proofErr w:type="spellStart"/>
            <w:r>
              <w:rPr>
                <w:color w:val="000000"/>
                <w:sz w:val="22"/>
                <w:szCs w:val="22"/>
              </w:rPr>
              <w:t>сумона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  <w:p w:rsidR="00645B16" w:rsidRPr="009F54CE" w:rsidRDefault="00645B16" w:rsidP="009E01E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настоящее время введутся работы по установке технологического присоединения к  электрическим сетям.</w:t>
            </w:r>
          </w:p>
        </w:tc>
      </w:tr>
      <w:tr w:rsidR="00981B41" w:rsidRPr="00B06DD6" w:rsidTr="009E01E1">
        <w:trPr>
          <w:trHeight w:val="14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E01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81B41">
              <w:rPr>
                <w:sz w:val="22"/>
                <w:szCs w:val="22"/>
              </w:rPr>
              <w:lastRenderedPageBreak/>
              <w:t>Строительство спортивного зала (спортивного комплекса)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спорта и молодежи РТ;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СПС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0D70C3" w:rsidRDefault="00981B41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E0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E01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E01E1">
        <w:trPr>
          <w:trHeight w:val="14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81B41">
              <w:rPr>
                <w:rFonts w:ascii="Times New Roman" w:hAnsi="Times New Roman" w:cs="Times New Roman"/>
              </w:rPr>
              <w:t>Установка спортивной площадки на базе открытого плоскостного сооружения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2023-2025 гг.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Министерство спорта и молодежи РТ;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СПС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Солчурский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0D70C3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E01E1">
        <w:trPr>
          <w:trHeight w:val="5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645B16">
        <w:trPr>
          <w:trHeight w:val="46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CD7A65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3414D1">
              <w:rPr>
                <w:color w:val="000000"/>
                <w:sz w:val="22"/>
                <w:szCs w:val="22"/>
              </w:rPr>
              <w:lastRenderedPageBreak/>
              <w:t>1.Реконструкция локальных систем водоснабжения в количестве 5 ед.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Минстрой Республики Тыва, 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ГП РТ "Повышение эффективности и надежности функционирования  ЖКХ Республики Тыва на 2014-2020 годы"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1667,5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РБ-1167,3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МБ-500,3</w:t>
            </w: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414D1">
              <w:rPr>
                <w:b/>
                <w:color w:val="000000"/>
                <w:sz w:val="22"/>
                <w:szCs w:val="22"/>
              </w:rPr>
              <w:t>Исполнено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  <w:p w:rsidR="00981B41" w:rsidRDefault="00981B41" w:rsidP="00981B4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На основании договора № 259-21 между ГКУ РТ «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Госстройзаказ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» и ООО «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Тывагипрозем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» в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сумоне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Солчур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Овюрского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кожууна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выполнены </w:t>
            </w:r>
            <w:r w:rsidRPr="009A6A86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работы по монтажу и поставке водозаборной колонки</w:t>
            </w:r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=159)-35 </w:t>
            </w:r>
            <w:proofErr w:type="spellStart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п.м</w:t>
            </w:r>
            <w:proofErr w:type="spellEnd"/>
            <w:r w:rsidRPr="009A6A86">
              <w:rPr>
                <w:color w:val="000000" w:themeColor="text1"/>
                <w:sz w:val="22"/>
                <w:szCs w:val="22"/>
                <w:shd w:val="clear" w:color="auto" w:fill="FFFFFF"/>
              </w:rPr>
              <w:t>., с установкой погружного насоса. В настоящее время завершены работы по бурению скважины, установки насоса и строительство ВЛ-0,4 кВт.</w:t>
            </w:r>
          </w:p>
          <w:p w:rsidR="00981B41" w:rsidRDefault="00981B41" w:rsidP="00981B4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Со стороны подрядчика работы выполнены не надлежащим образом. Из водозаборной колонки вода не качается (не течет).</w:t>
            </w:r>
          </w:p>
          <w:p w:rsidR="00981B41" w:rsidRPr="00302B78" w:rsidRDefault="00981B41" w:rsidP="00981B4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Администрацией </w:t>
            </w:r>
            <w:proofErr w:type="spellStart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>сумона</w:t>
            </w:r>
            <w:proofErr w:type="spellEnd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>Солчур</w:t>
            </w:r>
            <w:proofErr w:type="spellEnd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>Овюрского</w:t>
            </w:r>
            <w:proofErr w:type="spellEnd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>кожууна</w:t>
            </w:r>
            <w:proofErr w:type="spellEnd"/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на сегодняшний день, выполняются работы по установке технологического присоединения к электрическим сетям и работы по оформлению документов на права собственности на объект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302B7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81B41" w:rsidRPr="00C27949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645B16">
        <w:trPr>
          <w:trHeight w:val="41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3414D1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Капитальный ремонт 3 глубинных скважин- </w:t>
            </w:r>
            <w:proofErr w:type="spellStart"/>
            <w:r>
              <w:rPr>
                <w:color w:val="000000"/>
                <w:sz w:val="22"/>
                <w:szCs w:val="22"/>
              </w:rPr>
              <w:t>водоколонок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Минстрой Республики Тыва, 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645B1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645B1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5B16">
              <w:rPr>
                <w:color w:val="000000"/>
                <w:sz w:val="22"/>
                <w:szCs w:val="22"/>
              </w:rPr>
              <w:t xml:space="preserve">По состоянию на </w:t>
            </w:r>
            <w:r>
              <w:rPr>
                <w:color w:val="000000"/>
                <w:sz w:val="22"/>
                <w:szCs w:val="22"/>
              </w:rPr>
              <w:t>отчетную дату разработан ПСД глубинных скважин.</w:t>
            </w:r>
          </w:p>
        </w:tc>
      </w:tr>
      <w:tr w:rsidR="00981B41" w:rsidRPr="00B06DD6" w:rsidTr="009E01E1">
        <w:trPr>
          <w:trHeight w:val="4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</w:t>
            </w:r>
          </w:p>
          <w:p w:rsidR="00981B41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81B41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81B41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81B41" w:rsidRPr="00B06DD6" w:rsidRDefault="00981B41" w:rsidP="00981B41">
            <w:pPr>
              <w:tabs>
                <w:tab w:val="left" w:pos="17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E01E1">
        <w:trPr>
          <w:trHeight w:val="3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E01E1">
        <w:trPr>
          <w:trHeight w:val="100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24852">
              <w:rPr>
                <w:color w:val="000000"/>
                <w:sz w:val="22"/>
                <w:szCs w:val="22"/>
              </w:rPr>
              <w:t xml:space="preserve">.Установка уличных освещений 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2020-2025гг.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сумона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Муниципальная программа "Муниципальное хозяйство"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1B41" w:rsidRPr="00B06DD6" w:rsidTr="009E01E1">
        <w:trPr>
          <w:trHeight w:val="27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24852">
              <w:rPr>
                <w:color w:val="000000"/>
                <w:sz w:val="22"/>
                <w:szCs w:val="22"/>
              </w:rPr>
              <w:t>.Строительство ТБО в сельских поселениях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2025-2030гг.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>;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>Муниципальная программа "Муниципальное хозяйство"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E01E1">
        <w:trPr>
          <w:trHeight w:val="27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Строительство мини-парка для отдыха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ПСД разработан.</w:t>
            </w:r>
          </w:p>
        </w:tc>
      </w:tr>
      <w:tr w:rsidR="00981B41" w:rsidRPr="00B06DD6" w:rsidTr="009E01E1">
        <w:trPr>
          <w:trHeight w:val="43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Предпринимательство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3A16C0" w:rsidP="003A16C0">
            <w:pPr>
              <w:tabs>
                <w:tab w:val="left" w:pos="426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</w:t>
            </w:r>
          </w:p>
        </w:tc>
      </w:tr>
      <w:tr w:rsidR="00981B41" w:rsidRPr="00B06DD6" w:rsidTr="009E01E1">
        <w:trPr>
          <w:trHeight w:val="29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D6">
              <w:rPr>
                <w:b/>
                <w:color w:val="000000"/>
                <w:sz w:val="22"/>
                <w:szCs w:val="22"/>
              </w:rPr>
              <w:t>Сельское хозяйство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10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224852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224852">
              <w:rPr>
                <w:color w:val="000000"/>
                <w:sz w:val="22"/>
                <w:szCs w:val="22"/>
              </w:rPr>
              <w:t xml:space="preserve">Создание животноводческого </w:t>
            </w:r>
            <w:proofErr w:type="spellStart"/>
            <w:r w:rsidRPr="00224852">
              <w:rPr>
                <w:color w:val="000000"/>
                <w:sz w:val="22"/>
                <w:szCs w:val="22"/>
              </w:rPr>
              <w:t>МУПа</w:t>
            </w:r>
            <w:proofErr w:type="spellEnd"/>
            <w:r w:rsidRPr="00224852">
              <w:rPr>
                <w:color w:val="000000"/>
                <w:sz w:val="22"/>
                <w:szCs w:val="22"/>
              </w:rPr>
              <w:t xml:space="preserve"> «Ак-</w:t>
            </w:r>
            <w:proofErr w:type="spellStart"/>
            <w:r w:rsidRPr="00224852">
              <w:rPr>
                <w:color w:val="000000"/>
                <w:sz w:val="22"/>
                <w:szCs w:val="22"/>
              </w:rPr>
              <w:t>Бедик</w:t>
            </w:r>
            <w:proofErr w:type="spellEnd"/>
            <w:r w:rsidRPr="00224852">
              <w:rPr>
                <w:color w:val="000000"/>
                <w:sz w:val="22"/>
                <w:szCs w:val="22"/>
              </w:rPr>
              <w:t xml:space="preserve">» в с. </w:t>
            </w:r>
            <w:proofErr w:type="spellStart"/>
            <w:r w:rsidRPr="00224852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2023-2030 гг.</w:t>
            </w:r>
          </w:p>
        </w:tc>
        <w:tc>
          <w:tcPr>
            <w:tcW w:w="32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19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81B41">
              <w:rPr>
                <w:rFonts w:ascii="Times New Roman" w:hAnsi="Times New Roman" w:cs="Times New Roman"/>
              </w:rPr>
              <w:t xml:space="preserve">Создание заготовительной конторы для приема и </w:t>
            </w:r>
            <w:proofErr w:type="spellStart"/>
            <w:r w:rsidRPr="00981B41">
              <w:rPr>
                <w:rFonts w:ascii="Times New Roman" w:hAnsi="Times New Roman" w:cs="Times New Roman"/>
              </w:rPr>
              <w:t>классировки</w:t>
            </w:r>
            <w:proofErr w:type="spellEnd"/>
            <w:r w:rsidRPr="00981B41">
              <w:rPr>
                <w:rFonts w:ascii="Times New Roman" w:hAnsi="Times New Roman" w:cs="Times New Roman"/>
              </w:rPr>
              <w:t xml:space="preserve">  шерсти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25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81B41">
              <w:rPr>
                <w:sz w:val="22"/>
                <w:szCs w:val="22"/>
              </w:rPr>
              <w:t>Приобретение специальной машины для утилизации трупов сельскохозяйственных животных.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25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81B41">
              <w:rPr>
                <w:sz w:val="22"/>
                <w:szCs w:val="22"/>
              </w:rPr>
              <w:t>Создание молочно- товарной фермы на 100 голов симментальской породы коров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25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1B41">
              <w:rPr>
                <w:sz w:val="22"/>
                <w:szCs w:val="22"/>
              </w:rPr>
              <w:t>Разведение баранов-производителей, для повышения племенных качеств тувинской коротко-</w:t>
            </w:r>
            <w:proofErr w:type="spellStart"/>
            <w:r w:rsidRPr="00981B41">
              <w:rPr>
                <w:sz w:val="22"/>
                <w:szCs w:val="22"/>
              </w:rPr>
              <w:t>жирнохвостной</w:t>
            </w:r>
            <w:proofErr w:type="spellEnd"/>
            <w:r w:rsidRPr="00981B41">
              <w:rPr>
                <w:sz w:val="22"/>
                <w:szCs w:val="22"/>
              </w:rPr>
              <w:t xml:space="preserve"> породы овец.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250"/>
        </w:trPr>
        <w:tc>
          <w:tcPr>
            <w:tcW w:w="2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3A16C0" w:rsidRDefault="003A16C0" w:rsidP="00981B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16C0">
              <w:rPr>
                <w:sz w:val="22"/>
                <w:szCs w:val="22"/>
              </w:rPr>
              <w:lastRenderedPageBreak/>
              <w:t>Реконструкция оросительной системы «Кок-</w:t>
            </w:r>
            <w:proofErr w:type="spellStart"/>
            <w:r w:rsidRPr="003A16C0">
              <w:rPr>
                <w:sz w:val="22"/>
                <w:szCs w:val="22"/>
              </w:rPr>
              <w:t>Сайыр</w:t>
            </w:r>
            <w:proofErr w:type="spellEnd"/>
            <w:r w:rsidRPr="003A16C0">
              <w:rPr>
                <w:sz w:val="22"/>
                <w:szCs w:val="22"/>
              </w:rPr>
              <w:t>»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1B41" w:rsidRDefault="003A16C0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2025—2030 гг.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16C0" w:rsidRDefault="003A16C0" w:rsidP="003A16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3A16C0" w:rsidRDefault="003A16C0" w:rsidP="003A16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DD6"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; Управление сельского хозяйства администрации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 w:rsidRPr="00B06DD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DD6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81B41" w:rsidRPr="00B06DD6" w:rsidTr="009E01E1">
        <w:trPr>
          <w:trHeight w:val="24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DD6">
              <w:rPr>
                <w:b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1B41" w:rsidRPr="00B06DD6" w:rsidTr="009E01E1">
        <w:trPr>
          <w:trHeight w:val="31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jc w:val="center"/>
              <w:rPr>
                <w:b/>
                <w:sz w:val="22"/>
                <w:szCs w:val="22"/>
              </w:rPr>
            </w:pPr>
            <w:r w:rsidRPr="00B06DD6">
              <w:rPr>
                <w:b/>
                <w:sz w:val="22"/>
                <w:szCs w:val="22"/>
              </w:rPr>
              <w:t>Туризм</w:t>
            </w:r>
          </w:p>
        </w:tc>
        <w:tc>
          <w:tcPr>
            <w:tcW w:w="1275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1B41" w:rsidRPr="00B06DD6" w:rsidTr="00981B41">
        <w:trPr>
          <w:trHeight w:val="160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</w:rPr>
              <w:t>Строительство туристической базы на базе целебных источников «</w:t>
            </w:r>
            <w:proofErr w:type="spellStart"/>
            <w:r>
              <w:rPr>
                <w:sz w:val="24"/>
              </w:rPr>
              <w:t>Талдыг-Чарык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Ангырактыг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Улаатай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2024-2030гг.</w:t>
            </w:r>
          </w:p>
        </w:tc>
        <w:tc>
          <w:tcPr>
            <w:tcW w:w="3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Минстрой Республики Тыва</w:t>
            </w:r>
          </w:p>
          <w:p w:rsidR="00981B41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Минсельхоз Республики Тыва</w:t>
            </w:r>
          </w:p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Овюрского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B41" w:rsidRPr="00B06DD6" w:rsidRDefault="00981B41" w:rsidP="00981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9201A" w:rsidRDefault="0029201A"/>
    <w:sectPr w:rsidR="0029201A" w:rsidSect="00645B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E9"/>
    <w:rsid w:val="00131184"/>
    <w:rsid w:val="0029201A"/>
    <w:rsid w:val="003A16C0"/>
    <w:rsid w:val="00645B16"/>
    <w:rsid w:val="00981B41"/>
    <w:rsid w:val="00992AF5"/>
    <w:rsid w:val="00C477A7"/>
    <w:rsid w:val="00D16F92"/>
    <w:rsid w:val="00DB0615"/>
    <w:rsid w:val="00E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D34"/>
  <w15:chartTrackingRefBased/>
  <w15:docId w15:val="{29FC2A0E-2645-4AD8-950C-CA0FC039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16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45B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4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2022-11-17T13:32:00Z</dcterms:created>
  <dcterms:modified xsi:type="dcterms:W3CDTF">2022-11-17T14:59:00Z</dcterms:modified>
</cp:coreProperties>
</file>