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19872751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6370C3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34F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2019</w:t>
      </w:r>
      <w:r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Pr="009811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                            № 1</w:t>
      </w:r>
      <w:r w:rsidR="001D60EC">
        <w:rPr>
          <w:rFonts w:ascii="Times New Roman" w:hAnsi="Times New Roman"/>
          <w:sz w:val="28"/>
          <w:szCs w:val="28"/>
        </w:rPr>
        <w:t>2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69A2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/>
          <w:sz w:val="28"/>
          <w:szCs w:val="24"/>
        </w:rPr>
        <w:t>Сарыг-Хольский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/>
          <w:sz w:val="28"/>
          <w:szCs w:val="24"/>
        </w:rPr>
        <w:t>Сарыг-Хольский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/>
          <w:sz w:val="28"/>
          <w:szCs w:val="24"/>
        </w:rPr>
        <w:t>Сарыг-Хольский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1D6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5067BF" w:rsidRPr="005067BF">
        <w:rPr>
          <w:rFonts w:ascii="Times New Roman" w:eastAsia="Times New Roman" w:hAnsi="Times New Roman"/>
          <w:bCs/>
          <w:sz w:val="28"/>
          <w:szCs w:val="28"/>
        </w:rPr>
        <w:t>18.05.201</w:t>
      </w:r>
      <w:r w:rsidR="001D60EC">
        <w:rPr>
          <w:rFonts w:ascii="Times New Roman" w:eastAsia="Times New Roman" w:hAnsi="Times New Roman"/>
          <w:bCs/>
          <w:sz w:val="28"/>
          <w:szCs w:val="28"/>
        </w:rPr>
        <w:t>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 первый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Cs/>
          <w:sz w:val="28"/>
          <w:szCs w:val="24"/>
        </w:rPr>
        <w:t>Сарыг-Хольский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1D60EC">
        <w:rPr>
          <w:rFonts w:ascii="Times New Roman" w:eastAsia="Times New Roman" w:hAnsi="Times New Roman"/>
          <w:bCs/>
          <w:sz w:val="28"/>
          <w:szCs w:val="24"/>
        </w:rPr>
        <w:t>115,97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</w:t>
      </w:r>
      <w:proofErr w:type="gram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.р</w:t>
      </w:r>
      <w:proofErr w:type="gramEnd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1D60EC">
        <w:rPr>
          <w:rFonts w:ascii="Times New Roman" w:eastAsia="Times New Roman" w:hAnsi="Times New Roman"/>
          <w:bCs/>
          <w:sz w:val="28"/>
          <w:szCs w:val="24"/>
        </w:rPr>
        <w:t>116,25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</w:t>
      </w:r>
      <w:proofErr w:type="spell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</w:t>
      </w:r>
      <w:proofErr w:type="spellEnd"/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дефицит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бюджета на </w:t>
      </w:r>
      <w:r w:rsidR="001D60EC">
        <w:rPr>
          <w:rFonts w:ascii="Times New Roman" w:eastAsia="Times New Roman" w:hAnsi="Times New Roman"/>
          <w:bCs/>
          <w:sz w:val="28"/>
          <w:szCs w:val="24"/>
        </w:rPr>
        <w:t xml:space="preserve">0,28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60EC">
        <w:rPr>
          <w:rFonts w:ascii="Times New Roman" w:hAnsi="Times New Roman" w:cs="Times New Roman"/>
          <w:iCs/>
          <w:sz w:val="28"/>
          <w:szCs w:val="28"/>
        </w:rPr>
        <w:t>Сарыг-Хольский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>ний объём доходов бюджета в 2019 году увеличатся на 11</w:t>
      </w:r>
      <w:r w:rsidR="00A0249A">
        <w:rPr>
          <w:rFonts w:ascii="Times New Roman" w:hAnsi="Times New Roman"/>
          <w:sz w:val="28"/>
          <w:szCs w:val="28"/>
        </w:rPr>
        <w:t>5,97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Pr="0054534E">
        <w:rPr>
          <w:rFonts w:ascii="Times New Roman" w:hAnsi="Times New Roman"/>
          <w:sz w:val="28"/>
          <w:szCs w:val="28"/>
        </w:rPr>
        <w:t xml:space="preserve"> и составит </w:t>
      </w:r>
      <w:r w:rsidR="00A0249A">
        <w:rPr>
          <w:rFonts w:ascii="Times New Roman" w:hAnsi="Times New Roman"/>
          <w:sz w:val="28"/>
          <w:szCs w:val="28"/>
        </w:rPr>
        <w:t>3091,57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0EC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5A0746" w:rsidP="00A0249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A0249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A00842"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1,2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A0249A" w:rsidRDefault="00A0249A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249A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A0249A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2819,59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A0249A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2933,57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A00842" w:rsidP="00A0249A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07E">
              <w:rPr>
                <w:rFonts w:ascii="Times New Roman" w:hAnsi="Times New Roman"/>
                <w:bCs/>
                <w:sz w:val="18"/>
                <w:szCs w:val="18"/>
              </w:rPr>
              <w:t>+</w:t>
            </w:r>
            <w:r w:rsidR="00A0249A">
              <w:rPr>
                <w:rFonts w:ascii="Times New Roman" w:hAnsi="Times New Roman"/>
                <w:bCs/>
                <w:sz w:val="18"/>
                <w:szCs w:val="18"/>
              </w:rPr>
              <w:t>113,97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A0249A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2975,59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3091,57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3,8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067BF" w:rsidRDefault="0054534E" w:rsidP="00E512AE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 xml:space="preserve">В доходной части бюджета предполагается изменение на (плюс) </w:t>
      </w:r>
      <w:r w:rsidR="008C547B">
        <w:rPr>
          <w:rFonts w:ascii="Times New Roman" w:hAnsi="Times New Roman"/>
          <w:sz w:val="28"/>
          <w:szCs w:val="28"/>
        </w:rPr>
        <w:t>1</w:t>
      </w:r>
      <w:r w:rsidR="00A0249A">
        <w:rPr>
          <w:rFonts w:ascii="Times New Roman" w:hAnsi="Times New Roman"/>
          <w:sz w:val="28"/>
          <w:szCs w:val="28"/>
        </w:rPr>
        <w:t>15,97</w:t>
      </w:r>
      <w:r w:rsidRPr="0054534E">
        <w:rPr>
          <w:rFonts w:ascii="Times New Roman" w:hAnsi="Times New Roman"/>
          <w:sz w:val="28"/>
          <w:szCs w:val="28"/>
        </w:rPr>
        <w:t xml:space="preserve"> тыс. руб.:</w:t>
      </w:r>
    </w:p>
    <w:p w:rsidR="00E512AE" w:rsidRDefault="005067BF" w:rsidP="00A0249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6E0A">
        <w:rPr>
          <w:rFonts w:ascii="Times New Roman" w:hAnsi="Times New Roman"/>
          <w:sz w:val="28"/>
          <w:szCs w:val="28"/>
        </w:rPr>
        <w:t>по разделу</w:t>
      </w:r>
      <w:r w:rsidR="0054534E" w:rsidRPr="0054534E">
        <w:rPr>
          <w:rFonts w:ascii="Times New Roman" w:hAnsi="Times New Roman"/>
          <w:sz w:val="28"/>
          <w:szCs w:val="28"/>
        </w:rPr>
        <w:t xml:space="preserve"> «</w:t>
      </w:r>
      <w:r w:rsidR="00286E0A">
        <w:rPr>
          <w:rFonts w:ascii="Times New Roman" w:hAnsi="Times New Roman"/>
          <w:sz w:val="28"/>
          <w:szCs w:val="28"/>
        </w:rPr>
        <w:t xml:space="preserve">Налоговые и неналоговые доходы» </w:t>
      </w:r>
      <w:r w:rsidR="00390598">
        <w:rPr>
          <w:rFonts w:ascii="Times New Roman" w:hAnsi="Times New Roman"/>
          <w:sz w:val="28"/>
          <w:szCs w:val="28"/>
        </w:rPr>
        <w:t>в подразделе</w:t>
      </w:r>
      <w:r w:rsidR="00881BD2">
        <w:rPr>
          <w:rFonts w:ascii="Times New Roman" w:hAnsi="Times New Roman"/>
          <w:sz w:val="28"/>
          <w:szCs w:val="28"/>
        </w:rPr>
        <w:t xml:space="preserve"> «Налог на</w:t>
      </w:r>
      <w:r w:rsidR="008C547B">
        <w:rPr>
          <w:rFonts w:ascii="Times New Roman" w:hAnsi="Times New Roman"/>
          <w:sz w:val="28"/>
          <w:szCs w:val="28"/>
        </w:rPr>
        <w:t xml:space="preserve"> доходы физических лиц»</w:t>
      </w:r>
      <w:r w:rsidR="0054534E" w:rsidRPr="0054534E">
        <w:rPr>
          <w:rFonts w:ascii="Times New Roman" w:hAnsi="Times New Roman"/>
          <w:sz w:val="28"/>
          <w:szCs w:val="28"/>
        </w:rPr>
        <w:t xml:space="preserve"> (плюс) </w:t>
      </w:r>
      <w:r w:rsidR="00A0249A">
        <w:rPr>
          <w:rFonts w:ascii="Times New Roman" w:hAnsi="Times New Roman"/>
          <w:sz w:val="28"/>
          <w:szCs w:val="28"/>
        </w:rPr>
        <w:t>2</w:t>
      </w:r>
      <w:r w:rsidR="00881BD2">
        <w:rPr>
          <w:rFonts w:ascii="Times New Roman" w:hAnsi="Times New Roman"/>
          <w:sz w:val="28"/>
          <w:szCs w:val="28"/>
        </w:rPr>
        <w:t>,0 тыс. рублей</w:t>
      </w:r>
      <w:r w:rsidR="00A0249A">
        <w:rPr>
          <w:rFonts w:ascii="Times New Roman" w:hAnsi="Times New Roman"/>
          <w:sz w:val="28"/>
          <w:szCs w:val="28"/>
        </w:rPr>
        <w:t>;</w:t>
      </w:r>
    </w:p>
    <w:p w:rsidR="00A0249A" w:rsidRDefault="00A0249A" w:rsidP="00A0249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разделу «Безвозмездные поступления</w:t>
      </w:r>
      <w:r w:rsidR="00390598">
        <w:rPr>
          <w:rFonts w:ascii="Times New Roman" w:hAnsi="Times New Roman"/>
          <w:sz w:val="28"/>
          <w:szCs w:val="28"/>
        </w:rPr>
        <w:t>» в подразделе «Дотации бюджетам сельских поселений на поддержку мер по обеспечению» (плюс) 109,07 тыс. рублей, в подразделе «Субвенции бюджетам сельских поселений на осуществление первичного воинского учета» (плюс) 4,9 тыс. рублей.</w:t>
      </w:r>
    </w:p>
    <w:p w:rsidR="00390598" w:rsidRDefault="00390598" w:rsidP="00A0249A">
      <w:pPr>
        <w:pStyle w:val="a3"/>
        <w:autoSpaceDE w:val="0"/>
        <w:autoSpaceDN w:val="0"/>
        <w:adjustRightInd w:val="0"/>
        <w:spacing w:after="0"/>
        <w:ind w:left="0"/>
        <w:jc w:val="both"/>
        <w:rPr>
          <w:b/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1D60EC">
        <w:rPr>
          <w:b/>
          <w:bCs/>
          <w:szCs w:val="28"/>
        </w:rPr>
        <w:t>Сарыг-Хольский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AD0D15">
        <w:rPr>
          <w:rFonts w:ascii="Times New Roman" w:hAnsi="Times New Roman"/>
          <w:sz w:val="28"/>
          <w:szCs w:val="28"/>
        </w:rPr>
        <w:t>116,25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D0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E83CD7">
        <w:rPr>
          <w:rFonts w:ascii="Times New Roman" w:hAnsi="Times New Roman"/>
          <w:sz w:val="28"/>
          <w:szCs w:val="28"/>
        </w:rPr>
        <w:t>3,</w:t>
      </w:r>
      <w:r w:rsidR="00AD0D15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AD0D15">
        <w:rPr>
          <w:rFonts w:ascii="Times New Roman" w:hAnsi="Times New Roman"/>
          <w:sz w:val="28"/>
          <w:szCs w:val="28"/>
        </w:rPr>
        <w:t>3091,85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881BD2" w:rsidRPr="00881BD2" w:rsidRDefault="00881BD2" w:rsidP="00E512AE">
      <w:pPr>
        <w:spacing w:after="0"/>
        <w:ind w:firstLine="567"/>
        <w:jc w:val="both"/>
        <w:rPr>
          <w:b/>
          <w:color w:val="FF0000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0EC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C547B" w:rsidRPr="00881BD2" w:rsidRDefault="00881BD2" w:rsidP="00491D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расходной части бюджета пре</w:t>
      </w:r>
      <w:r>
        <w:rPr>
          <w:rFonts w:ascii="Times New Roman" w:hAnsi="Times New Roman"/>
          <w:sz w:val="28"/>
          <w:szCs w:val="28"/>
        </w:rPr>
        <w:t xml:space="preserve">дполагается увеличение на </w:t>
      </w:r>
      <w:r w:rsidR="00AD0D15">
        <w:rPr>
          <w:rFonts w:ascii="Times New Roman" w:hAnsi="Times New Roman"/>
          <w:sz w:val="28"/>
          <w:szCs w:val="28"/>
        </w:rPr>
        <w:t>116,25</w:t>
      </w:r>
      <w:r w:rsidRPr="00881BD2">
        <w:rPr>
          <w:rFonts w:ascii="Times New Roman" w:hAnsi="Times New Roman"/>
          <w:sz w:val="28"/>
          <w:szCs w:val="28"/>
        </w:rPr>
        <w:t xml:space="preserve"> тыс. руб. по следующим причинам:</w:t>
      </w:r>
    </w:p>
    <w:p w:rsidR="00881BD2" w:rsidRPr="00881BD2" w:rsidRDefault="00881BD2" w:rsidP="00506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D75BDD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="00491D98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81BD2" w:rsidRPr="00D75BDD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 w:rsidR="00491D98">
        <w:rPr>
          <w:rFonts w:ascii="Times New Roman" w:hAnsi="Times New Roman"/>
          <w:sz w:val="28"/>
          <w:szCs w:val="28"/>
        </w:rPr>
        <w:t>111,35 тыс. рублей;</w:t>
      </w:r>
    </w:p>
    <w:p w:rsidR="006C69A2" w:rsidRPr="003F0043" w:rsidRDefault="00D75BDD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3F0043">
        <w:rPr>
          <w:rFonts w:ascii="Times New Roman" w:hAnsi="Times New Roman"/>
          <w:sz w:val="28"/>
          <w:szCs w:val="28"/>
        </w:rPr>
        <w:t>Подразделу «</w:t>
      </w:r>
      <w:r w:rsidR="00CE16A8">
        <w:rPr>
          <w:rFonts w:ascii="Times New Roman" w:hAnsi="Times New Roman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3F0043">
        <w:rPr>
          <w:rFonts w:ascii="Times New Roman" w:hAnsi="Times New Roman"/>
          <w:sz w:val="28"/>
          <w:szCs w:val="28"/>
        </w:rPr>
        <w:t>»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r w:rsidR="00CE16A8">
        <w:rPr>
          <w:rFonts w:ascii="Times New Roman" w:eastAsia="Times New Roman" w:hAnsi="Times New Roman"/>
          <w:sz w:val="28"/>
          <w:szCs w:val="24"/>
        </w:rPr>
        <w:t>4,9</w:t>
      </w:r>
      <w:r w:rsidR="003F0043">
        <w:rPr>
          <w:rFonts w:ascii="Times New Roman" w:eastAsia="Times New Roman" w:hAnsi="Times New Roman"/>
          <w:sz w:val="28"/>
          <w:szCs w:val="24"/>
        </w:rPr>
        <w:t xml:space="preserve"> тыс. рублей.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6C69A2" w:rsidRPr="003C5CB3" w:rsidRDefault="006C69A2" w:rsidP="005067B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3C5CB3">
        <w:rPr>
          <w:rFonts w:ascii="Times New Roman" w:eastAsia="Times New Roman" w:hAnsi="Times New Roman"/>
          <w:b/>
          <w:sz w:val="28"/>
          <w:szCs w:val="24"/>
        </w:rPr>
        <w:t>Анализ дефицита (профицита) бюджета</w:t>
      </w:r>
    </w:p>
    <w:p w:rsidR="005067BF" w:rsidRDefault="006C69A2" w:rsidP="00D34F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Дефицит бюджета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4"/>
        </w:rPr>
        <w:t>поселения на 2017 год зап</w:t>
      </w:r>
      <w:r w:rsidR="003F0043">
        <w:rPr>
          <w:rFonts w:ascii="Times New Roman" w:eastAsia="Times New Roman" w:hAnsi="Times New Roman"/>
          <w:sz w:val="28"/>
          <w:szCs w:val="24"/>
        </w:rPr>
        <w:t xml:space="preserve">ланирован  в размере </w:t>
      </w:r>
      <w:r w:rsidR="00CE16A8">
        <w:rPr>
          <w:rFonts w:ascii="Times New Roman" w:eastAsia="Times New Roman" w:hAnsi="Times New Roman"/>
          <w:sz w:val="28"/>
          <w:szCs w:val="24"/>
        </w:rPr>
        <w:t>0,28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 рублей. </w:t>
      </w:r>
    </w:p>
    <w:p w:rsidR="00D34FC6" w:rsidRDefault="00D34FC6" w:rsidP="00D34F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D34FC6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 xml:space="preserve">по результатам  </w:t>
      </w:r>
      <w:proofErr w:type="gramStart"/>
      <w:r w:rsidR="006C69A2" w:rsidRPr="002D26D5">
        <w:rPr>
          <w:rFonts w:ascii="Times New Roman" w:eastAsia="Times New Roman" w:hAnsi="Times New Roman"/>
          <w:sz w:val="28"/>
          <w:szCs w:val="24"/>
        </w:rPr>
        <w:t>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</w:t>
      </w:r>
      <w:proofErr w:type="gram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</w:t>
      </w:r>
    </w:p>
    <w:p w:rsidR="006C69A2" w:rsidRDefault="00E83CD7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внесении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изменений в Решение Хурала представителей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</w:p>
    <w:p w:rsidR="006C69A2" w:rsidRPr="00D34FC6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D34FC6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D34FC6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D34FC6">
        <w:rPr>
          <w:rFonts w:ascii="Times New Roman" w:eastAsia="Times New Roman" w:hAnsi="Times New Roman"/>
          <w:sz w:val="28"/>
          <w:szCs w:val="24"/>
        </w:rPr>
        <w:t>С</w:t>
      </w:r>
      <w:r w:rsidR="006C69A2" w:rsidRPr="00D34FC6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D34FC6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>считает, что данный проект Решения может быть рекомендован к рассмотрению Хуралу представителей сельского п</w:t>
      </w:r>
      <w:bookmarkStart w:id="0" w:name="_GoBack"/>
      <w:bookmarkEnd w:id="0"/>
      <w:r w:rsidRPr="003F0043">
        <w:rPr>
          <w:rFonts w:ascii="Times New Roman" w:eastAsia="Times New Roman" w:hAnsi="Times New Roman"/>
          <w:sz w:val="28"/>
          <w:szCs w:val="24"/>
        </w:rPr>
        <w:t xml:space="preserve">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51B51"/>
    <w:rsid w:val="00086814"/>
    <w:rsid w:val="00153F97"/>
    <w:rsid w:val="001617FC"/>
    <w:rsid w:val="00191AA4"/>
    <w:rsid w:val="001D60EC"/>
    <w:rsid w:val="002436BF"/>
    <w:rsid w:val="00286E0A"/>
    <w:rsid w:val="002D26D5"/>
    <w:rsid w:val="003345E2"/>
    <w:rsid w:val="0038223A"/>
    <w:rsid w:val="00390598"/>
    <w:rsid w:val="003B027C"/>
    <w:rsid w:val="003C5CB3"/>
    <w:rsid w:val="003F0043"/>
    <w:rsid w:val="00491D98"/>
    <w:rsid w:val="005067BF"/>
    <w:rsid w:val="0054534E"/>
    <w:rsid w:val="005A0746"/>
    <w:rsid w:val="006370C3"/>
    <w:rsid w:val="006C69A2"/>
    <w:rsid w:val="006D2949"/>
    <w:rsid w:val="00881BD2"/>
    <w:rsid w:val="008C547B"/>
    <w:rsid w:val="00984F7F"/>
    <w:rsid w:val="00A00842"/>
    <w:rsid w:val="00A0249A"/>
    <w:rsid w:val="00AC2C21"/>
    <w:rsid w:val="00AD0D15"/>
    <w:rsid w:val="00AE44B1"/>
    <w:rsid w:val="00CB43D2"/>
    <w:rsid w:val="00CE16A8"/>
    <w:rsid w:val="00D34FC6"/>
    <w:rsid w:val="00D75BDD"/>
    <w:rsid w:val="00E30C6F"/>
    <w:rsid w:val="00E512AE"/>
    <w:rsid w:val="00E83CD7"/>
    <w:rsid w:val="00F0293B"/>
    <w:rsid w:val="00FA007E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9</cp:revision>
  <cp:lastPrinted>2019-05-20T08:52:00Z</cp:lastPrinted>
  <dcterms:created xsi:type="dcterms:W3CDTF">2019-05-17T09:05:00Z</dcterms:created>
  <dcterms:modified xsi:type="dcterms:W3CDTF">2019-05-20T08:53:00Z</dcterms:modified>
</cp:coreProperties>
</file>