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30" w:rsidRPr="00522C30" w:rsidRDefault="00522C30" w:rsidP="00522C30">
      <w:pPr>
        <w:tabs>
          <w:tab w:val="left" w:pos="4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C30">
        <w:rPr>
          <w:rFonts w:ascii="Times New Roman" w:hAnsi="Times New Roman" w:cs="Times New Roman"/>
          <w:b/>
          <w:noProof/>
          <w:color w:val="0000FF"/>
          <w:sz w:val="26"/>
          <w:szCs w:val="26"/>
        </w:rPr>
        <w:drawing>
          <wp:inline distT="0" distB="0" distL="0" distR="0">
            <wp:extent cx="711200" cy="571500"/>
            <wp:effectExtent l="19050" t="0" r="0" b="0"/>
            <wp:docPr id="1" name="Рисунок 1" descr="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C30" w:rsidRPr="00522C30" w:rsidRDefault="00522C30" w:rsidP="00522C30">
      <w:pPr>
        <w:tabs>
          <w:tab w:val="left" w:pos="46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C30">
        <w:rPr>
          <w:rFonts w:ascii="Times New Roman" w:hAnsi="Times New Roman" w:cs="Times New Roman"/>
          <w:b/>
          <w:sz w:val="26"/>
          <w:szCs w:val="26"/>
        </w:rPr>
        <w:t>ТЫВА РЕСПУБЛИКАНЫН ОВУР КОЖУУННУН</w:t>
      </w:r>
    </w:p>
    <w:p w:rsidR="00522C30" w:rsidRPr="00522C30" w:rsidRDefault="00522C30" w:rsidP="00522C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C30">
        <w:rPr>
          <w:rFonts w:ascii="Times New Roman" w:hAnsi="Times New Roman" w:cs="Times New Roman"/>
          <w:b/>
          <w:sz w:val="26"/>
          <w:szCs w:val="26"/>
        </w:rPr>
        <w:t>СОЛЧУР СУМУ ЧАГЫРГАЗЫ</w:t>
      </w:r>
    </w:p>
    <w:p w:rsidR="00522C30" w:rsidRPr="00522C30" w:rsidRDefault="00522C30" w:rsidP="00522C3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C30">
        <w:rPr>
          <w:rFonts w:ascii="Times New Roman" w:hAnsi="Times New Roman" w:cs="Times New Roman"/>
          <w:b/>
          <w:sz w:val="26"/>
          <w:szCs w:val="26"/>
        </w:rPr>
        <w:t>АЙТЫЫШКЫН</w:t>
      </w:r>
    </w:p>
    <w:p w:rsidR="00522C30" w:rsidRPr="00522C30" w:rsidRDefault="00522C30" w:rsidP="00522C30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C30">
        <w:rPr>
          <w:rFonts w:ascii="Times New Roman" w:hAnsi="Times New Roman" w:cs="Times New Roman"/>
          <w:b/>
          <w:sz w:val="26"/>
          <w:szCs w:val="26"/>
        </w:rPr>
        <w:t>АДМИНИСТРАЦИЯ СУМОНА СОЛЧУР</w:t>
      </w:r>
    </w:p>
    <w:p w:rsidR="00522C30" w:rsidRPr="00522C30" w:rsidRDefault="00522C30" w:rsidP="00522C30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C30">
        <w:rPr>
          <w:rFonts w:ascii="Times New Roman" w:hAnsi="Times New Roman" w:cs="Times New Roman"/>
          <w:b/>
          <w:sz w:val="26"/>
          <w:szCs w:val="26"/>
        </w:rPr>
        <w:t>ОВЮРСКОГО КОЖУУНА РЕСПУБЛИКИ ТЫВА</w:t>
      </w:r>
    </w:p>
    <w:p w:rsidR="00522C30" w:rsidRPr="00522C30" w:rsidRDefault="00522C30" w:rsidP="00522C30">
      <w:pPr>
        <w:pBdr>
          <w:bottom w:val="single" w:sz="12" w:space="0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2C30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522C30" w:rsidRPr="00522C30" w:rsidRDefault="00522C30" w:rsidP="00522C30">
      <w:pPr>
        <w:rPr>
          <w:rFonts w:ascii="Times New Roman" w:hAnsi="Times New Roman" w:cs="Times New Roman"/>
          <w:sz w:val="26"/>
          <w:szCs w:val="26"/>
        </w:rPr>
      </w:pPr>
      <w:r w:rsidRPr="00522C30">
        <w:rPr>
          <w:rFonts w:ascii="Times New Roman" w:hAnsi="Times New Roman" w:cs="Times New Roman"/>
          <w:sz w:val="26"/>
          <w:szCs w:val="26"/>
        </w:rPr>
        <w:t xml:space="preserve">«03» июня  2016 г.                                № 21                                          </w:t>
      </w:r>
      <w:proofErr w:type="spellStart"/>
      <w:r w:rsidRPr="00522C30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522C30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522C30">
        <w:rPr>
          <w:rFonts w:ascii="Times New Roman" w:hAnsi="Times New Roman" w:cs="Times New Roman"/>
          <w:sz w:val="26"/>
          <w:szCs w:val="26"/>
        </w:rPr>
        <w:t>олчур</w:t>
      </w:r>
      <w:proofErr w:type="spellEnd"/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/>
        <w:jc w:val="center"/>
        <w:rPr>
          <w:sz w:val="26"/>
          <w:szCs w:val="26"/>
        </w:rPr>
      </w:pPr>
      <w:r w:rsidRPr="00522C30">
        <w:rPr>
          <w:sz w:val="26"/>
          <w:szCs w:val="26"/>
        </w:rPr>
        <w:t xml:space="preserve">О внесении изменений в Порядок </w:t>
      </w:r>
      <w:proofErr w:type="gramStart"/>
      <w:r w:rsidRPr="00522C30">
        <w:rPr>
          <w:sz w:val="26"/>
          <w:szCs w:val="26"/>
        </w:rPr>
        <w:t>санкционирования оплаты денежных обязательств получателей средств местного бюджета сельского</w:t>
      </w:r>
      <w:proofErr w:type="gramEnd"/>
      <w:r w:rsidRPr="00522C30">
        <w:rPr>
          <w:sz w:val="26"/>
          <w:szCs w:val="26"/>
        </w:rPr>
        <w:t xml:space="preserve"> </w:t>
      </w:r>
      <w:proofErr w:type="spellStart"/>
      <w:r w:rsidRPr="00522C30">
        <w:rPr>
          <w:sz w:val="26"/>
          <w:szCs w:val="26"/>
        </w:rPr>
        <w:t>поселениясумонаСолчурскийи</w:t>
      </w:r>
      <w:proofErr w:type="spellEnd"/>
      <w:r w:rsidRPr="00522C30">
        <w:rPr>
          <w:sz w:val="26"/>
          <w:szCs w:val="26"/>
        </w:rPr>
        <w:t xml:space="preserve"> администраторов источников финансирования дефицита местного бюджета, утвержденный распоряжением </w:t>
      </w:r>
      <w:proofErr w:type="spellStart"/>
      <w:r w:rsidRPr="00522C30">
        <w:rPr>
          <w:sz w:val="26"/>
          <w:szCs w:val="26"/>
        </w:rPr>
        <w:t>АдминистрациисумонаСолчурОвюрскогокожууна</w:t>
      </w:r>
      <w:proofErr w:type="spellEnd"/>
      <w:r w:rsidRPr="00522C30">
        <w:rPr>
          <w:sz w:val="26"/>
          <w:szCs w:val="26"/>
        </w:rPr>
        <w:t xml:space="preserve"> от 28 декабря 2012 года № 76 а.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/>
        <w:jc w:val="center"/>
        <w:rPr>
          <w:sz w:val="26"/>
          <w:szCs w:val="26"/>
        </w:rPr>
      </w:pP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В целях приведения локального акта в соответствие федеральному законодательству, РАСПОРЯЖАЮ:</w:t>
      </w:r>
    </w:p>
    <w:p w:rsidR="00522C30" w:rsidRPr="00522C30" w:rsidRDefault="00522C30" w:rsidP="00522C30">
      <w:pPr>
        <w:pStyle w:val="1"/>
        <w:numPr>
          <w:ilvl w:val="0"/>
          <w:numId w:val="1"/>
        </w:numPr>
        <w:shd w:val="clear" w:color="auto" w:fill="auto"/>
        <w:tabs>
          <w:tab w:val="left" w:pos="1032"/>
        </w:tabs>
        <w:spacing w:after="0" w:line="322" w:lineRule="exact"/>
        <w:ind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Порядок санкционирования оплаты денежных обязательств получателей </w:t>
      </w:r>
      <w:proofErr w:type="spellStart"/>
      <w:r w:rsidRPr="00522C30">
        <w:rPr>
          <w:sz w:val="26"/>
          <w:szCs w:val="26"/>
        </w:rPr>
        <w:t>средствместного</w:t>
      </w:r>
      <w:proofErr w:type="spellEnd"/>
      <w:r w:rsidRPr="00522C30">
        <w:rPr>
          <w:sz w:val="26"/>
          <w:szCs w:val="26"/>
        </w:rPr>
        <w:t xml:space="preserve"> бюджета и администраторов источников финансирования дефицита местного бюджета, утвержденный распоряжением </w:t>
      </w:r>
      <w:bookmarkStart w:id="0" w:name="_GoBack"/>
      <w:bookmarkEnd w:id="0"/>
      <w:r w:rsidRPr="00522C30">
        <w:rPr>
          <w:sz w:val="26"/>
          <w:szCs w:val="26"/>
        </w:rPr>
        <w:t>от 28декабря 2012 года № 76 а, изложить в новой редакции согласно приложением № 1.</w:t>
      </w:r>
    </w:p>
    <w:p w:rsidR="00522C30" w:rsidRPr="00522C30" w:rsidRDefault="00522C30" w:rsidP="00522C30">
      <w:pPr>
        <w:pStyle w:val="1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322" w:lineRule="exact"/>
        <w:ind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Настоящее Распоряжение вступает в силу со дня его подписания.</w:t>
      </w:r>
    </w:p>
    <w:p w:rsidR="00522C30" w:rsidRPr="00522C30" w:rsidRDefault="00522C30" w:rsidP="00522C30">
      <w:pPr>
        <w:pStyle w:val="1"/>
        <w:framePr w:h="269" w:wrap="around" w:vAnchor="text" w:hAnchor="margin" w:x="6604" w:y="1902"/>
        <w:shd w:val="clear" w:color="auto" w:fill="auto"/>
        <w:tabs>
          <w:tab w:val="left" w:pos="830"/>
        </w:tabs>
        <w:spacing w:after="0" w:line="270" w:lineRule="exact"/>
        <w:ind w:right="20"/>
        <w:jc w:val="both"/>
        <w:rPr>
          <w:sz w:val="26"/>
          <w:szCs w:val="26"/>
        </w:rPr>
      </w:pPr>
      <w:proofErr w:type="spellStart"/>
      <w:r w:rsidRPr="00522C30">
        <w:rPr>
          <w:sz w:val="26"/>
          <w:szCs w:val="26"/>
        </w:rPr>
        <w:t>Сат</w:t>
      </w:r>
      <w:proofErr w:type="spellEnd"/>
      <w:r w:rsidRPr="00522C30">
        <w:rPr>
          <w:sz w:val="26"/>
          <w:szCs w:val="26"/>
        </w:rPr>
        <w:t xml:space="preserve"> Э.Ю.</w:t>
      </w:r>
    </w:p>
    <w:p w:rsidR="00522C30" w:rsidRPr="00522C30" w:rsidRDefault="00522C30" w:rsidP="00522C30">
      <w:pPr>
        <w:pStyle w:val="1"/>
        <w:numPr>
          <w:ilvl w:val="0"/>
          <w:numId w:val="1"/>
        </w:numPr>
        <w:shd w:val="clear" w:color="auto" w:fill="auto"/>
        <w:tabs>
          <w:tab w:val="left" w:pos="998"/>
        </w:tabs>
        <w:spacing w:after="900" w:line="322" w:lineRule="exact"/>
        <w:ind w:right="20" w:firstLine="540"/>
        <w:jc w:val="both"/>
        <w:rPr>
          <w:sz w:val="26"/>
          <w:szCs w:val="26"/>
        </w:rPr>
      </w:pPr>
      <w:proofErr w:type="gramStart"/>
      <w:r w:rsidRPr="00522C30">
        <w:rPr>
          <w:sz w:val="26"/>
          <w:szCs w:val="26"/>
        </w:rPr>
        <w:t>Контроль за</w:t>
      </w:r>
      <w:proofErr w:type="gramEnd"/>
      <w:r w:rsidRPr="00522C30">
        <w:rPr>
          <w:sz w:val="26"/>
          <w:szCs w:val="26"/>
        </w:rPr>
        <w:t xml:space="preserve"> исполнением настоящего распоряжения возложить на главного бухгалтера </w:t>
      </w:r>
      <w:proofErr w:type="spellStart"/>
      <w:r w:rsidRPr="00522C30">
        <w:rPr>
          <w:sz w:val="26"/>
          <w:szCs w:val="26"/>
        </w:rPr>
        <w:t>Тюлюш</w:t>
      </w:r>
      <w:proofErr w:type="spellEnd"/>
      <w:r w:rsidRPr="00522C30">
        <w:rPr>
          <w:sz w:val="26"/>
          <w:szCs w:val="26"/>
        </w:rPr>
        <w:t xml:space="preserve"> О.А.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right="3920" w:firstLine="540"/>
        <w:rPr>
          <w:sz w:val="26"/>
          <w:szCs w:val="26"/>
        </w:rPr>
      </w:pPr>
      <w:r w:rsidRPr="00522C30">
        <w:rPr>
          <w:sz w:val="26"/>
          <w:szCs w:val="26"/>
        </w:rPr>
        <w:t>Председатель Администрации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right="3920" w:firstLine="540"/>
        <w:rPr>
          <w:sz w:val="26"/>
          <w:szCs w:val="26"/>
        </w:rPr>
      </w:pPr>
      <w:proofErr w:type="spellStart"/>
      <w:r w:rsidRPr="00522C30">
        <w:rPr>
          <w:sz w:val="26"/>
          <w:szCs w:val="26"/>
        </w:rPr>
        <w:t>сумонаСолчурОвюрскогокожууна</w:t>
      </w:r>
      <w:proofErr w:type="spellEnd"/>
      <w:r w:rsidRPr="00522C30">
        <w:rPr>
          <w:sz w:val="26"/>
          <w:szCs w:val="26"/>
        </w:rPr>
        <w:t>:</w:t>
      </w:r>
      <w:r w:rsidRPr="00522C30">
        <w:rPr>
          <w:sz w:val="26"/>
          <w:szCs w:val="26"/>
        </w:rPr>
        <w:br w:type="page"/>
      </w:r>
    </w:p>
    <w:p w:rsidR="00522C30" w:rsidRPr="00522C30" w:rsidRDefault="00522C30" w:rsidP="00522C30">
      <w:pPr>
        <w:pStyle w:val="30"/>
        <w:shd w:val="clear" w:color="auto" w:fill="auto"/>
        <w:ind w:left="5760" w:right="20"/>
        <w:rPr>
          <w:sz w:val="26"/>
          <w:szCs w:val="26"/>
        </w:rPr>
      </w:pPr>
      <w:r w:rsidRPr="00522C30">
        <w:rPr>
          <w:sz w:val="26"/>
          <w:szCs w:val="26"/>
        </w:rPr>
        <w:lastRenderedPageBreak/>
        <w:t>Приложение № 1</w:t>
      </w:r>
    </w:p>
    <w:p w:rsidR="00522C30" w:rsidRPr="00522C30" w:rsidRDefault="00522C30" w:rsidP="00522C30">
      <w:pPr>
        <w:pStyle w:val="30"/>
        <w:shd w:val="clear" w:color="auto" w:fill="auto"/>
        <w:ind w:left="5760" w:right="20"/>
        <w:rPr>
          <w:sz w:val="26"/>
          <w:szCs w:val="26"/>
        </w:rPr>
      </w:pPr>
      <w:r w:rsidRPr="00522C30">
        <w:rPr>
          <w:sz w:val="26"/>
          <w:szCs w:val="26"/>
        </w:rPr>
        <w:t>к порядку</w:t>
      </w:r>
      <w:proofErr w:type="gramStart"/>
      <w:r w:rsidRPr="00522C30">
        <w:rPr>
          <w:sz w:val="26"/>
          <w:szCs w:val="26"/>
        </w:rPr>
        <w:t>«О</w:t>
      </w:r>
      <w:proofErr w:type="gramEnd"/>
      <w:r w:rsidRPr="00522C30">
        <w:rPr>
          <w:sz w:val="26"/>
          <w:szCs w:val="26"/>
        </w:rPr>
        <w:t xml:space="preserve"> внесении изменений в </w:t>
      </w:r>
      <w:proofErr w:type="spellStart"/>
      <w:r w:rsidRPr="00522C30">
        <w:rPr>
          <w:sz w:val="26"/>
          <w:szCs w:val="26"/>
        </w:rPr>
        <w:t>Порядоксанкционирования</w:t>
      </w:r>
      <w:proofErr w:type="spellEnd"/>
      <w:r w:rsidRPr="00522C30">
        <w:rPr>
          <w:sz w:val="26"/>
          <w:szCs w:val="26"/>
        </w:rPr>
        <w:t xml:space="preserve"> оплаты денежных обязательств получателей </w:t>
      </w:r>
      <w:proofErr w:type="spellStart"/>
      <w:r w:rsidRPr="00522C30">
        <w:rPr>
          <w:sz w:val="26"/>
          <w:szCs w:val="26"/>
        </w:rPr>
        <w:t>средствместного</w:t>
      </w:r>
      <w:proofErr w:type="spellEnd"/>
      <w:r w:rsidRPr="00522C30">
        <w:rPr>
          <w:sz w:val="26"/>
          <w:szCs w:val="26"/>
        </w:rPr>
        <w:t xml:space="preserve"> бюджета и администраторов источников финансирования дефицита местного бюджета», утвержденный Распоряжение председателем Администрации </w:t>
      </w:r>
      <w:proofErr w:type="spellStart"/>
      <w:r w:rsidRPr="00522C30">
        <w:rPr>
          <w:sz w:val="26"/>
          <w:szCs w:val="26"/>
        </w:rPr>
        <w:t>сумона</w:t>
      </w:r>
      <w:proofErr w:type="spellEnd"/>
      <w:r w:rsidRPr="00522C30">
        <w:rPr>
          <w:sz w:val="26"/>
          <w:szCs w:val="26"/>
        </w:rPr>
        <w:t xml:space="preserve"> </w:t>
      </w:r>
      <w:proofErr w:type="spellStart"/>
      <w:r w:rsidRPr="00522C30">
        <w:rPr>
          <w:sz w:val="26"/>
          <w:szCs w:val="26"/>
        </w:rPr>
        <w:t>Солчур</w:t>
      </w:r>
      <w:proofErr w:type="spellEnd"/>
      <w:r w:rsidRPr="00522C30">
        <w:rPr>
          <w:sz w:val="26"/>
          <w:szCs w:val="26"/>
        </w:rPr>
        <w:t xml:space="preserve"> </w:t>
      </w:r>
      <w:proofErr w:type="spellStart"/>
      <w:r w:rsidRPr="00522C30">
        <w:rPr>
          <w:sz w:val="26"/>
          <w:szCs w:val="26"/>
        </w:rPr>
        <w:t>Овюрского</w:t>
      </w:r>
      <w:proofErr w:type="spellEnd"/>
      <w:r w:rsidRPr="00522C30">
        <w:rPr>
          <w:sz w:val="26"/>
          <w:szCs w:val="26"/>
        </w:rPr>
        <w:t xml:space="preserve"> </w:t>
      </w:r>
      <w:proofErr w:type="spellStart"/>
      <w:r w:rsidRPr="00522C30">
        <w:rPr>
          <w:sz w:val="26"/>
          <w:szCs w:val="26"/>
        </w:rPr>
        <w:t>кожууна</w:t>
      </w:r>
      <w:proofErr w:type="spellEnd"/>
      <w:r w:rsidRPr="00522C30">
        <w:rPr>
          <w:sz w:val="26"/>
          <w:szCs w:val="26"/>
        </w:rPr>
        <w:t xml:space="preserve"> Республики Тыва от 28 декабря 2012 года № 76 а</w:t>
      </w:r>
    </w:p>
    <w:p w:rsidR="00522C30" w:rsidRPr="00522C30" w:rsidRDefault="00522C30" w:rsidP="00522C30">
      <w:pPr>
        <w:pStyle w:val="30"/>
        <w:shd w:val="clear" w:color="auto" w:fill="auto"/>
        <w:ind w:left="5760" w:right="20"/>
        <w:jc w:val="center"/>
        <w:rPr>
          <w:sz w:val="26"/>
          <w:szCs w:val="26"/>
        </w:rPr>
      </w:pP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/>
        <w:jc w:val="center"/>
        <w:rPr>
          <w:sz w:val="26"/>
          <w:szCs w:val="26"/>
        </w:rPr>
      </w:pPr>
      <w:r w:rsidRPr="00522C30">
        <w:rPr>
          <w:sz w:val="26"/>
          <w:szCs w:val="26"/>
        </w:rPr>
        <w:t xml:space="preserve">Порядок 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/>
        <w:jc w:val="center"/>
        <w:rPr>
          <w:sz w:val="26"/>
          <w:szCs w:val="26"/>
        </w:rPr>
      </w:pPr>
      <w:r w:rsidRPr="00522C30">
        <w:rPr>
          <w:sz w:val="26"/>
          <w:szCs w:val="26"/>
        </w:rPr>
        <w:t xml:space="preserve">санкционирования </w:t>
      </w:r>
      <w:proofErr w:type="gramStart"/>
      <w:r w:rsidRPr="00522C30">
        <w:rPr>
          <w:sz w:val="26"/>
          <w:szCs w:val="26"/>
        </w:rPr>
        <w:t>оплаты денежных обязательств получателей средств местного бюджета</w:t>
      </w:r>
      <w:proofErr w:type="gramEnd"/>
      <w:r w:rsidRPr="00522C30">
        <w:rPr>
          <w:sz w:val="26"/>
          <w:szCs w:val="26"/>
        </w:rPr>
        <w:t xml:space="preserve"> и администраторов источников финансирования дефицита местного бюджета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/>
        <w:jc w:val="center"/>
        <w:rPr>
          <w:sz w:val="26"/>
          <w:szCs w:val="26"/>
        </w:rPr>
      </w:pPr>
    </w:p>
    <w:p w:rsidR="00522C30" w:rsidRPr="00522C30" w:rsidRDefault="00522C30" w:rsidP="00522C30">
      <w:pPr>
        <w:pStyle w:val="1"/>
        <w:numPr>
          <w:ilvl w:val="1"/>
          <w:numId w:val="2"/>
        </w:numPr>
        <w:shd w:val="clear" w:color="auto" w:fill="auto"/>
        <w:tabs>
          <w:tab w:val="left" w:pos="927"/>
        </w:tabs>
        <w:spacing w:after="0" w:line="322" w:lineRule="exact"/>
        <w:ind w:left="2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Настоящий Порядок разработан на основании статей 219 и 219.2 Бюджетного кодекса Российской Федерации и устанавливает порядок </w:t>
      </w:r>
      <w:proofErr w:type="spellStart"/>
      <w:r w:rsidRPr="00522C30">
        <w:rPr>
          <w:sz w:val="26"/>
          <w:szCs w:val="26"/>
        </w:rPr>
        <w:t>санкционированияУправлением</w:t>
      </w:r>
      <w:proofErr w:type="spellEnd"/>
      <w:r w:rsidRPr="00522C30">
        <w:rPr>
          <w:sz w:val="26"/>
          <w:szCs w:val="26"/>
        </w:rPr>
        <w:t xml:space="preserve"> Федерального казначейства по Республике Тыва (далее </w:t>
      </w:r>
      <w:proofErr w:type="gramStart"/>
      <w:r w:rsidRPr="00522C30">
        <w:rPr>
          <w:sz w:val="26"/>
          <w:szCs w:val="26"/>
        </w:rPr>
        <w:t>–У</w:t>
      </w:r>
      <w:proofErr w:type="gramEnd"/>
      <w:r w:rsidRPr="00522C30">
        <w:rPr>
          <w:sz w:val="26"/>
          <w:szCs w:val="26"/>
        </w:rPr>
        <w:t xml:space="preserve">ФК по Республике Тыва)оплаты за счет денежных обязательств получателей средств местного </w:t>
      </w:r>
      <w:proofErr w:type="spellStart"/>
      <w:r w:rsidRPr="00522C30">
        <w:rPr>
          <w:sz w:val="26"/>
          <w:szCs w:val="26"/>
        </w:rPr>
        <w:t>бюджетаи</w:t>
      </w:r>
      <w:proofErr w:type="spellEnd"/>
      <w:r w:rsidRPr="00522C30">
        <w:rPr>
          <w:sz w:val="26"/>
          <w:szCs w:val="26"/>
        </w:rPr>
        <w:t xml:space="preserve"> администраторов источников финансирования дефицита местного бюджета, лицевые счета которых открыты в УФК по Республике Тыва.</w:t>
      </w:r>
    </w:p>
    <w:p w:rsidR="00522C30" w:rsidRPr="00522C30" w:rsidRDefault="00522C30" w:rsidP="00522C30">
      <w:pPr>
        <w:pStyle w:val="1"/>
        <w:numPr>
          <w:ilvl w:val="1"/>
          <w:numId w:val="2"/>
        </w:numPr>
        <w:shd w:val="clear" w:color="auto" w:fill="auto"/>
        <w:tabs>
          <w:tab w:val="left" w:pos="1158"/>
        </w:tabs>
        <w:spacing w:after="0" w:line="322" w:lineRule="exact"/>
        <w:ind w:left="2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Для оплаты денежных обязательств получатели средств местного бюджета, администраторы источников финансирования дефицита местного бюджета представляют в УФК по Республике Тыва Заявку на кассовый расход, заявку на получение наличных денег и заявку на получение денежных средств, перечисляемых на карту (далее - Заявки) в порядке, установленном бюджетным законодательством Российской Федерации.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Заявка при наличии электронного документооборота между получателем средств местного бюджета, администратором источников финансирования дефицита местного бюджета и УФК по Республике Тыва представляется в электронном виде с применением электронной цифровой подписи (далее - в электронном виде). При отсутствии электронного документооборота с применением электронной цифровой подписи Заявка представляется на бумажном носителе с одновременным представлением на электронном носителе (далее - на бумажном носителе).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Заявка подписывается руководителем и главным бухгалтером (иными уполномоченными руководителем лицами) получателя средств местного бюджета (администратора источников финансирования дефицита местного бюджета).</w:t>
      </w:r>
    </w:p>
    <w:p w:rsidR="00522C30" w:rsidRPr="00522C30" w:rsidRDefault="00522C30" w:rsidP="00522C30">
      <w:pPr>
        <w:pStyle w:val="1"/>
        <w:numPr>
          <w:ilvl w:val="1"/>
          <w:numId w:val="2"/>
        </w:numPr>
        <w:shd w:val="clear" w:color="auto" w:fill="auto"/>
        <w:tabs>
          <w:tab w:val="left" w:pos="870"/>
        </w:tabs>
        <w:spacing w:after="0" w:line="322" w:lineRule="exact"/>
        <w:ind w:left="20" w:right="20" w:firstLine="560"/>
        <w:jc w:val="both"/>
        <w:rPr>
          <w:sz w:val="26"/>
          <w:szCs w:val="26"/>
        </w:rPr>
      </w:pPr>
      <w:proofErr w:type="gramStart"/>
      <w:r w:rsidRPr="00522C30">
        <w:rPr>
          <w:sz w:val="26"/>
          <w:szCs w:val="26"/>
        </w:rPr>
        <w:t xml:space="preserve">Уполномоченный руководителем УФК по Республике </w:t>
      </w:r>
      <w:proofErr w:type="spellStart"/>
      <w:r w:rsidRPr="00522C30">
        <w:rPr>
          <w:sz w:val="26"/>
          <w:szCs w:val="26"/>
        </w:rPr>
        <w:t>Тываработник</w:t>
      </w:r>
      <w:proofErr w:type="spellEnd"/>
      <w:r w:rsidRPr="00522C30">
        <w:rPr>
          <w:sz w:val="26"/>
          <w:szCs w:val="26"/>
        </w:rPr>
        <w:t xml:space="preserve"> не позднее рабочего дня, следующего за днем представления получателем средств местного бюджета (администратором источников финансирования дефицита местного бюджета) Заявки в УФК по Республике Тыва, проверяет Заявку на соответствие установленной форме, наличие в ней реквизитов и показателей, предусмотренных пунктами 4, 6-8 настоящего Порядка, а также соответствие показателей соответствующим требованиям, подписей </w:t>
      </w:r>
      <w:r w:rsidRPr="00522C30">
        <w:rPr>
          <w:sz w:val="26"/>
          <w:szCs w:val="26"/>
        </w:rPr>
        <w:lastRenderedPageBreak/>
        <w:t>имеющимся образцам, представленным получателем средств</w:t>
      </w:r>
      <w:proofErr w:type="gramEnd"/>
      <w:r w:rsidRPr="00522C30">
        <w:rPr>
          <w:sz w:val="26"/>
          <w:szCs w:val="26"/>
        </w:rPr>
        <w:t xml:space="preserve"> местного бюджета (администратором источников финансирования дефицита местного бюджета) в порядке, установленном для открытия соответствующего лицевого счета.</w:t>
      </w:r>
    </w:p>
    <w:p w:rsidR="00522C30" w:rsidRPr="00522C30" w:rsidRDefault="00522C30" w:rsidP="00522C30">
      <w:pPr>
        <w:pStyle w:val="1"/>
        <w:numPr>
          <w:ilvl w:val="1"/>
          <w:numId w:val="2"/>
        </w:numPr>
        <w:shd w:val="clear" w:color="auto" w:fill="auto"/>
        <w:tabs>
          <w:tab w:val="left" w:pos="966"/>
        </w:tabs>
        <w:spacing w:after="0" w:line="322" w:lineRule="exact"/>
        <w:ind w:left="20" w:right="20" w:firstLine="56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Заявка проверяется на наличие в ней следующих реквизитов и показателей: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1854"/>
        </w:tabs>
        <w:spacing w:after="0" w:line="322" w:lineRule="exact"/>
        <w:ind w:right="2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1) </w:t>
      </w:r>
      <w:proofErr w:type="spellStart"/>
      <w:r w:rsidRPr="00522C30">
        <w:rPr>
          <w:sz w:val="26"/>
          <w:szCs w:val="26"/>
        </w:rPr>
        <w:t>Номерасоответствующего</w:t>
      </w:r>
      <w:proofErr w:type="spellEnd"/>
      <w:r w:rsidRPr="00522C30">
        <w:rPr>
          <w:sz w:val="26"/>
          <w:szCs w:val="26"/>
        </w:rPr>
        <w:t xml:space="preserve"> лицевого счета, открытого получателю средств местного бюджета или администратору источников финансирования дефицита местного бюджета;</w:t>
      </w:r>
    </w:p>
    <w:p w:rsidR="00522C30" w:rsidRPr="00522C30" w:rsidRDefault="00522C30" w:rsidP="00522C30">
      <w:pPr>
        <w:pStyle w:val="1"/>
        <w:numPr>
          <w:ilvl w:val="0"/>
          <w:numId w:val="3"/>
        </w:numPr>
        <w:shd w:val="clear" w:color="auto" w:fill="auto"/>
        <w:tabs>
          <w:tab w:val="left" w:pos="865"/>
        </w:tabs>
        <w:spacing w:after="0" w:line="322" w:lineRule="exact"/>
        <w:ind w:left="0" w:right="20" w:firstLine="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Кодов классификации расходов бюджетов (классификации источников финансирования дефицитов бюджетов), по которым необходимо произвести кассовый расход (кассовую выплату), а также текстового назначения платежа;</w:t>
      </w:r>
    </w:p>
    <w:p w:rsidR="00522C30" w:rsidRPr="00522C30" w:rsidRDefault="00522C30" w:rsidP="00522C30">
      <w:pPr>
        <w:pStyle w:val="1"/>
        <w:numPr>
          <w:ilvl w:val="0"/>
          <w:numId w:val="3"/>
        </w:numPr>
        <w:shd w:val="clear" w:color="auto" w:fill="auto"/>
        <w:tabs>
          <w:tab w:val="left" w:pos="975"/>
        </w:tabs>
        <w:spacing w:after="0" w:line="322" w:lineRule="exact"/>
        <w:ind w:left="0" w:right="20" w:firstLine="0"/>
        <w:jc w:val="both"/>
        <w:rPr>
          <w:sz w:val="26"/>
          <w:szCs w:val="26"/>
        </w:rPr>
      </w:pPr>
      <w:proofErr w:type="gramStart"/>
      <w:r w:rsidRPr="00522C30">
        <w:rPr>
          <w:sz w:val="26"/>
          <w:szCs w:val="26"/>
        </w:rPr>
        <w:t>Суммы кассового расхода (кассовой выплаты) и кода валюты в соответствии с Общероссийским классификатором валют, в которой он должен быть произведен;</w:t>
      </w:r>
      <w:proofErr w:type="gramEnd"/>
    </w:p>
    <w:p w:rsidR="00522C30" w:rsidRPr="00522C30" w:rsidRDefault="00522C30" w:rsidP="00522C30">
      <w:pPr>
        <w:pStyle w:val="1"/>
        <w:shd w:val="clear" w:color="auto" w:fill="auto"/>
        <w:tabs>
          <w:tab w:val="left" w:pos="1734"/>
        </w:tabs>
        <w:spacing w:after="0" w:line="322" w:lineRule="exact"/>
        <w:ind w:right="2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4)  Суммы</w:t>
      </w:r>
      <w:r w:rsidRPr="00522C30">
        <w:rPr>
          <w:sz w:val="26"/>
          <w:szCs w:val="26"/>
        </w:rPr>
        <w:tab/>
        <w:t>кассового расхода (кассовой выплаты) в валюте Российской Федерации,  в рублевом эквиваленте, исчисленном на дату оформления Заявки;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1734"/>
        </w:tabs>
        <w:spacing w:after="0" w:line="322" w:lineRule="exact"/>
        <w:ind w:right="2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5) Сумма налога на добавленную стоимость (при наличии);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2727"/>
        </w:tabs>
        <w:spacing w:after="0" w:line="322" w:lineRule="exact"/>
        <w:ind w:right="2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6) Наименования, банковских реквизитов, идентификационного номера налогоплательщика (ИНН) и кода причины постановки на учет (КПП) получателя денежных средств по Заявке;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2727"/>
        </w:tabs>
        <w:spacing w:after="0" w:line="322" w:lineRule="exact"/>
        <w:ind w:right="2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7) Номера</w:t>
      </w:r>
      <w:r w:rsidRPr="00522C30">
        <w:rPr>
          <w:sz w:val="26"/>
          <w:szCs w:val="26"/>
        </w:rPr>
        <w:tab/>
        <w:t>и серии чека (при наличном способе оплаты денежного обязательства);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2727"/>
        </w:tabs>
        <w:spacing w:after="0" w:line="322" w:lineRule="exact"/>
        <w:ind w:right="2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8) Срока</w:t>
      </w:r>
      <w:r w:rsidRPr="00522C30">
        <w:rPr>
          <w:sz w:val="26"/>
          <w:szCs w:val="26"/>
        </w:rPr>
        <w:tab/>
        <w:t>действия чека (при наличном способе оплаты денежного обязательства);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2727"/>
        </w:tabs>
        <w:spacing w:after="0" w:line="322" w:lineRule="exact"/>
        <w:ind w:right="2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9) Фамилии, имени и отчества получателя средств по чеку (при наличном способе оплаты денежного обязательства);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2727"/>
        </w:tabs>
        <w:spacing w:after="0" w:line="322" w:lineRule="exact"/>
        <w:ind w:right="2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10) Данных документов, удостоверяющих личность получателя средств по чеку (при наличном способе оплаты денежного обязательства);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2727"/>
        </w:tabs>
        <w:spacing w:after="0" w:line="322" w:lineRule="exact"/>
        <w:ind w:right="2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11) Данных для осуществления налоговых и иных обязательных платежей в бюджеты бюджетной системы Российской Федерации (при необходимости);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2727"/>
        </w:tabs>
        <w:spacing w:after="0" w:line="322" w:lineRule="exact"/>
        <w:ind w:right="20"/>
        <w:jc w:val="both"/>
        <w:rPr>
          <w:sz w:val="26"/>
          <w:szCs w:val="26"/>
        </w:rPr>
      </w:pPr>
      <w:proofErr w:type="gramStart"/>
      <w:r w:rsidRPr="00522C30">
        <w:rPr>
          <w:sz w:val="26"/>
          <w:szCs w:val="26"/>
        </w:rPr>
        <w:t>12) Реквизитов (номер, дата) и предмета договора (изменения к договору) или муниципального контракта (изменения к муниципальному контракту) на поставку товаров, выполнение работ, оказание услуг для муниципальных нужд (далее - муниципальный контракт на поставку товаров, выполнение работ, оказание услуг) или договора аренды, и (или)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приемки-передачи, и</w:t>
      </w:r>
      <w:proofErr w:type="gramEnd"/>
      <w:r w:rsidRPr="00522C30">
        <w:rPr>
          <w:sz w:val="26"/>
          <w:szCs w:val="26"/>
        </w:rPr>
        <w:t xml:space="preserve"> (</w:t>
      </w:r>
      <w:proofErr w:type="gramStart"/>
      <w:r w:rsidRPr="00522C30">
        <w:rPr>
          <w:sz w:val="26"/>
          <w:szCs w:val="26"/>
        </w:rPr>
        <w:t>или) счет-фактура), выполнении работ, оказании услуг (акт выполненных работ (услуг) и (или) счет, и (или) счет-фактура), номер и дата исполнительного документа (исполнительный лист, судебный приказ), иных документов (далее - документы, подтверждающие возникновение денежных обязательств).</w:t>
      </w:r>
      <w:proofErr w:type="gramEnd"/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firstLine="56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Положения подпункта 12 настоящего пункта не применяются: в части счета для подтверждения возникновения денежных обязательств по оплате договоров на оказание услуг, заключенных получателем средств местного бюджета с физическим лицом, не являющимся индивидуальным предпринимателем;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firstLine="560"/>
        <w:rPr>
          <w:sz w:val="26"/>
          <w:szCs w:val="26"/>
        </w:rPr>
      </w:pPr>
      <w:r w:rsidRPr="00522C30">
        <w:rPr>
          <w:sz w:val="26"/>
          <w:szCs w:val="26"/>
        </w:rPr>
        <w:t>при проверке Заявки на получение наличных денег.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В одной Заявке может содержаться несколько сумм кассовых расходов (кассовых выплат) по разным кодам классификации расходов бюджетов (классификации источников финансирования дефицитов бюджетов) по одному денежному обязательству получателя </w:t>
      </w:r>
      <w:r w:rsidRPr="00522C30">
        <w:rPr>
          <w:sz w:val="26"/>
          <w:szCs w:val="26"/>
        </w:rPr>
        <w:lastRenderedPageBreak/>
        <w:t>средств местного бюджета (администратора источников финансирования дефицита местного бюджета).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При проверке Заявки на получение наличных денег, Заявки на кассовый расход при перечислении средств иному получателю, требование об оформлении Заявки по одному денежному обязательству не применяется.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5. </w:t>
      </w:r>
      <w:proofErr w:type="gramStart"/>
      <w:r w:rsidRPr="00522C30">
        <w:rPr>
          <w:sz w:val="26"/>
          <w:szCs w:val="26"/>
        </w:rPr>
        <w:t>Получатель средств местного бюджета для оплаты денежных обязательств, возникающих по муниципальным контрактам на поставку товаров, выполнение работ, оказание услуг, по договорам аренды указывает в Заявке в соответствии с требованиями, установленными в подпункте 12 пункта 4 настоящего Порядка, реквизиты и предмет соответствующего муниципального контракта на поставку товаров, выполнение работ, оказание услуг, договора аренды, а также реквизиты документа, подтверждающего возникновение денежного обязательства</w:t>
      </w:r>
      <w:proofErr w:type="gramEnd"/>
      <w:r w:rsidRPr="00522C30">
        <w:rPr>
          <w:sz w:val="26"/>
          <w:szCs w:val="26"/>
        </w:rPr>
        <w:t>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 w:right="20" w:firstLine="540"/>
        <w:jc w:val="both"/>
        <w:rPr>
          <w:sz w:val="26"/>
          <w:szCs w:val="26"/>
        </w:rPr>
      </w:pPr>
      <w:proofErr w:type="gramStart"/>
      <w:r w:rsidRPr="00522C30">
        <w:rPr>
          <w:sz w:val="26"/>
          <w:szCs w:val="26"/>
        </w:rPr>
        <w:t>Для оплаты денежных обязательств при поставке товаров, выполнении работ, оказании услуг, в случаях, когда заключение муниципальных контрактов на поставку товаров, выполнение работ, оказание услуг законодательством Российской Федерации не предусмотрено, в Заявке указываются в соответствии с требованиями, установленными в подпункте 12 пункта 4 настоящего Порядка, только реквизиты соответствующего документа, подтверждающего возникновение денежного обязательства.</w:t>
      </w:r>
      <w:proofErr w:type="gramEnd"/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 w:right="20" w:firstLine="540"/>
        <w:jc w:val="both"/>
        <w:rPr>
          <w:sz w:val="26"/>
          <w:szCs w:val="26"/>
        </w:rPr>
      </w:pPr>
      <w:proofErr w:type="gramStart"/>
      <w:r w:rsidRPr="00522C30">
        <w:rPr>
          <w:sz w:val="26"/>
          <w:szCs w:val="26"/>
        </w:rPr>
        <w:t>Для оплаты денежных обязательств по авансовым платежам в соответствии с условиями муниципального контракта на поставку</w:t>
      </w:r>
      <w:proofErr w:type="gramEnd"/>
      <w:r w:rsidRPr="00522C30">
        <w:rPr>
          <w:sz w:val="26"/>
          <w:szCs w:val="26"/>
        </w:rPr>
        <w:t xml:space="preserve"> товаров, выполнение работ, оказание услуг, а также денежных обязательств по договору аренды в Заявке реквизиты документов, подтверждающих возникновение денежных обязательств, в соответствии с требованиями, установленными в подпункте 12 пункта 4 настоящего Порядка, могут не указываться.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 w:right="20" w:firstLine="547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6. </w:t>
      </w:r>
      <w:proofErr w:type="gramStart"/>
      <w:r w:rsidRPr="00522C30">
        <w:rPr>
          <w:sz w:val="26"/>
          <w:szCs w:val="26"/>
        </w:rPr>
        <w:t>Для подтверждения возникновения денежного обязательства получатель средств местного бюджета представляет в УФК по Республике Тыва вместе с Заявкой указанные в ней в соответствии с подпунктом 12 пункта 4 и пунктом 5 настоящего порядка соответствующий договор или муниципальный контракт на поставку товаров, выполнение работ, оказание услуг и (или) документ, подтверждающий возникновение денежного обязательства.</w:t>
      </w:r>
      <w:proofErr w:type="gramEnd"/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Получатель средств местного бюджета представляет документ- основание в УФК по Республике Тыва при наличии электронного документооборота с применением электронной цифровой подписи между УФК по Республике Тыва и получателем средств местного бюджета в виде электронной копии, созданной посредством сканирования, при отсутствии электронного документооборота с применением средств местного бюджета - на бумажном носителе. Прилагаемый к Заявке документ-основание на бумажном носителе подлежит возврату получателю средств местного бюджета.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7.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Заявки по следующим направлениям:</w:t>
      </w:r>
    </w:p>
    <w:p w:rsidR="00522C30" w:rsidRPr="00522C30" w:rsidRDefault="00522C30" w:rsidP="00522C30">
      <w:pPr>
        <w:pStyle w:val="1"/>
        <w:numPr>
          <w:ilvl w:val="4"/>
          <w:numId w:val="4"/>
        </w:numPr>
        <w:shd w:val="clear" w:color="auto" w:fill="auto"/>
        <w:tabs>
          <w:tab w:val="left" w:pos="859"/>
        </w:tabs>
        <w:spacing w:after="0" w:line="322" w:lineRule="exact"/>
        <w:ind w:left="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коды классификации расходов местного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522C30" w:rsidRPr="00522C30" w:rsidRDefault="00522C30" w:rsidP="00522C30">
      <w:pPr>
        <w:pStyle w:val="1"/>
        <w:numPr>
          <w:ilvl w:val="4"/>
          <w:numId w:val="4"/>
        </w:numPr>
        <w:shd w:val="clear" w:color="auto" w:fill="auto"/>
        <w:tabs>
          <w:tab w:val="left" w:pos="950"/>
        </w:tabs>
        <w:spacing w:after="0" w:line="322" w:lineRule="exact"/>
        <w:ind w:left="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соответствие указанных в Заявке кодов классификации операций сектора государственного управления (далее – КОСГУ), относящихся к расходам бюджетов, </w:t>
      </w:r>
      <w:r w:rsidRPr="00522C30">
        <w:rPr>
          <w:sz w:val="26"/>
          <w:szCs w:val="26"/>
        </w:rPr>
        <w:lastRenderedPageBreak/>
        <w:t>текстовому назначению платежа, исходя из содержания текста назначения платежа, в соответствии с утвержденным в установленном порядке Министерством финансов Российской Федерации порядком применения бюджетной классификации Российской Федерации;</w:t>
      </w:r>
    </w:p>
    <w:p w:rsidR="00522C30" w:rsidRPr="00522C30" w:rsidRDefault="00522C30" w:rsidP="00522C30">
      <w:pPr>
        <w:pStyle w:val="1"/>
        <w:numPr>
          <w:ilvl w:val="4"/>
          <w:numId w:val="4"/>
        </w:numPr>
        <w:shd w:val="clear" w:color="auto" w:fill="auto"/>
        <w:tabs>
          <w:tab w:val="left" w:pos="878"/>
        </w:tabs>
        <w:spacing w:after="0" w:line="322" w:lineRule="exact"/>
        <w:ind w:left="0" w:right="20" w:firstLine="540"/>
        <w:jc w:val="both"/>
        <w:rPr>
          <w:sz w:val="26"/>
          <w:szCs w:val="26"/>
        </w:rPr>
      </w:pPr>
      <w:proofErr w:type="spellStart"/>
      <w:r w:rsidRPr="00522C30">
        <w:rPr>
          <w:sz w:val="26"/>
          <w:szCs w:val="26"/>
        </w:rPr>
        <w:t>непревышение</w:t>
      </w:r>
      <w:proofErr w:type="spellEnd"/>
      <w:r w:rsidRPr="00522C30">
        <w:rPr>
          <w:sz w:val="26"/>
          <w:szCs w:val="26"/>
        </w:rPr>
        <w:t xml:space="preserve"> указанного в Заявке авансового платежа предельному размеру авансового платежа, установленному нормативными правовыми актами Республики Тыва, в случае представления Заявки для оплаты денежных обязательств по муниципальным контрактам на поставку товаров, выполнение работ, оказание услуг, соответствие размера и срока выплаты арендной платы за период пользования имуществом условиям договора аренды;</w:t>
      </w:r>
    </w:p>
    <w:p w:rsidR="00522C30" w:rsidRPr="00522C30" w:rsidRDefault="00522C30" w:rsidP="00522C30">
      <w:pPr>
        <w:pStyle w:val="1"/>
        <w:numPr>
          <w:ilvl w:val="4"/>
          <w:numId w:val="4"/>
        </w:numPr>
        <w:shd w:val="clear" w:color="auto" w:fill="auto"/>
        <w:tabs>
          <w:tab w:val="left" w:pos="888"/>
        </w:tabs>
        <w:spacing w:after="0" w:line="322" w:lineRule="exact"/>
        <w:ind w:left="0" w:right="20" w:firstLine="54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соответствие содержания операции, исходя из документа-основания, коду КОСГУ и содержанию текста назначения платежа, </w:t>
      </w:r>
      <w:proofErr w:type="gramStart"/>
      <w:r w:rsidRPr="00522C30">
        <w:rPr>
          <w:sz w:val="26"/>
          <w:szCs w:val="26"/>
        </w:rPr>
        <w:t>указанным</w:t>
      </w:r>
      <w:proofErr w:type="gramEnd"/>
      <w:r w:rsidRPr="00522C30">
        <w:rPr>
          <w:sz w:val="26"/>
          <w:szCs w:val="26"/>
        </w:rPr>
        <w:t xml:space="preserve"> в Заявке;</w:t>
      </w:r>
    </w:p>
    <w:p w:rsidR="00522C30" w:rsidRPr="00522C30" w:rsidRDefault="00522C30" w:rsidP="00522C30">
      <w:pPr>
        <w:pStyle w:val="1"/>
        <w:numPr>
          <w:ilvl w:val="4"/>
          <w:numId w:val="4"/>
        </w:numPr>
        <w:shd w:val="clear" w:color="auto" w:fill="auto"/>
        <w:tabs>
          <w:tab w:val="left" w:pos="1027"/>
        </w:tabs>
        <w:spacing w:after="0" w:line="322" w:lineRule="exact"/>
        <w:ind w:left="0" w:right="20" w:firstLine="540"/>
        <w:jc w:val="both"/>
        <w:rPr>
          <w:sz w:val="26"/>
          <w:szCs w:val="26"/>
        </w:rPr>
      </w:pPr>
      <w:proofErr w:type="spellStart"/>
      <w:r w:rsidRPr="00522C30">
        <w:rPr>
          <w:sz w:val="26"/>
          <w:szCs w:val="26"/>
        </w:rPr>
        <w:t>непревышение</w:t>
      </w:r>
      <w:proofErr w:type="spellEnd"/>
      <w:r w:rsidRPr="00522C30">
        <w:rPr>
          <w:sz w:val="26"/>
          <w:szCs w:val="26"/>
        </w:rPr>
        <w:t xml:space="preserve"> сумм в Заявке остатков предельных объемов финансирования, учтенных на лицевом счете получателя бюджетных средств;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845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8. При санкционировании оплаты денежных обязательств по расходам по публичным нормативным обязательствам осуществляется проверка Заявки по следующим направлениям: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845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proofErr w:type="gramStart"/>
      <w:r w:rsidRPr="00522C30">
        <w:rPr>
          <w:sz w:val="26"/>
          <w:szCs w:val="26"/>
        </w:rPr>
        <w:t>1) коды классификации расходов бюджетов,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  <w:proofErr w:type="gramEnd"/>
    </w:p>
    <w:p w:rsidR="00522C30" w:rsidRPr="00522C30" w:rsidRDefault="00522C30" w:rsidP="00522C30">
      <w:pPr>
        <w:pStyle w:val="1"/>
        <w:shd w:val="clear" w:color="auto" w:fill="auto"/>
        <w:tabs>
          <w:tab w:val="left" w:pos="845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2) соответствие указанных в Заявке кодов КОСГУ, относящихся к расходам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859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3) </w:t>
      </w:r>
      <w:proofErr w:type="spellStart"/>
      <w:r w:rsidRPr="00522C30">
        <w:rPr>
          <w:sz w:val="26"/>
          <w:szCs w:val="26"/>
        </w:rPr>
        <w:t>непревышение</w:t>
      </w:r>
      <w:proofErr w:type="spellEnd"/>
      <w:r w:rsidRPr="00522C30">
        <w:rPr>
          <w:sz w:val="26"/>
          <w:szCs w:val="26"/>
        </w:rPr>
        <w:t xml:space="preserve"> сумм, указанных в Заявке, остатков бюджетных данных, учтенных на лицевом счете получателя бюджетных средств.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859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9. При санкционировании оплаты денежных обязательств по выплатам по источникам финансирования дефицита местного бюджета осуществляется проверка Заявки по следующим направлениям: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859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1) коды</w:t>
      </w:r>
      <w:r w:rsidRPr="00522C30">
        <w:rPr>
          <w:sz w:val="26"/>
          <w:szCs w:val="26"/>
        </w:rPr>
        <w:tab/>
        <w:t>классификации источников финансирования дефицита местного бюджета, указанные в Заявке, должны соответствовать кодам бюджетной классификации Российской Федерации, действующим в текущем финансовом году на момент представления Заявки;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869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2) соответствие указанных в Заявке кодов КОСГУ, относящихся к источникам финансирования дефицитов бюджетов, исходя из содержания текста назначения платежа, кодам, указанным в порядке применения бюджетной классификации Российской Федерации, утвержденном в установленном порядке Министерством финансов Российской Федерации;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869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3) </w:t>
      </w:r>
      <w:proofErr w:type="spellStart"/>
      <w:r w:rsidRPr="00522C30">
        <w:rPr>
          <w:sz w:val="26"/>
          <w:szCs w:val="26"/>
        </w:rPr>
        <w:t>непревышение</w:t>
      </w:r>
      <w:proofErr w:type="spellEnd"/>
      <w:r w:rsidRPr="00522C30">
        <w:rPr>
          <w:sz w:val="26"/>
          <w:szCs w:val="26"/>
        </w:rPr>
        <w:t xml:space="preserve"> сумм, указанных в Заявке, остаткам соответствующих бюджетных ассигнований, учтенных на лицевом счете администратора источника внутреннего (внешнего) финансирования дефицита бюджета.</w:t>
      </w:r>
    </w:p>
    <w:p w:rsidR="00522C30" w:rsidRPr="00522C30" w:rsidRDefault="00522C30" w:rsidP="00522C30">
      <w:pPr>
        <w:pStyle w:val="1"/>
        <w:shd w:val="clear" w:color="auto" w:fill="auto"/>
        <w:tabs>
          <w:tab w:val="left" w:pos="869"/>
        </w:tabs>
        <w:spacing w:after="0" w:line="322" w:lineRule="exact"/>
        <w:ind w:right="20" w:firstLine="567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10. </w:t>
      </w:r>
      <w:proofErr w:type="gramStart"/>
      <w:r w:rsidRPr="00522C30">
        <w:rPr>
          <w:sz w:val="26"/>
          <w:szCs w:val="26"/>
        </w:rPr>
        <w:t xml:space="preserve">В случае если форма или информация, указанная в Заявке, не соответствуют требованиям, установленным пунктами 3-9 настоящего Порядка, УФК по Республике Тыва регистрирует представленную Заявку в Журнале регистрации неисполненных документов в установленном порядке и возвращает получателю средств местного бюджета </w:t>
      </w:r>
      <w:r w:rsidRPr="00522C30">
        <w:rPr>
          <w:sz w:val="26"/>
          <w:szCs w:val="26"/>
        </w:rPr>
        <w:lastRenderedPageBreak/>
        <w:t>(администратору источников финансирования дефицита местного бюджета) не позднее срока, установленного пунктом 3 настоящего Порядка, экземпляры Заявки на бумажном носителе с указанием в</w:t>
      </w:r>
      <w:proofErr w:type="gramEnd"/>
      <w:r w:rsidRPr="00522C30">
        <w:rPr>
          <w:sz w:val="26"/>
          <w:szCs w:val="26"/>
        </w:rPr>
        <w:t xml:space="preserve"> прилагаемом </w:t>
      </w:r>
      <w:proofErr w:type="gramStart"/>
      <w:r w:rsidRPr="00522C30">
        <w:rPr>
          <w:sz w:val="26"/>
          <w:szCs w:val="26"/>
        </w:rPr>
        <w:t>Протоколе</w:t>
      </w:r>
      <w:proofErr w:type="gramEnd"/>
      <w:r w:rsidRPr="00522C30">
        <w:rPr>
          <w:sz w:val="26"/>
          <w:szCs w:val="26"/>
        </w:rPr>
        <w:t xml:space="preserve"> в установленном порядке причины возврата.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right="20" w:firstLine="56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>В случае если Заявка представлялась в электронном виде, получателю средств местного бюджета (администратору источников финансирования местного бюджета) не позднее срока, установленного пунктом 3 настоящего Порядка, направляется Протокол в электронном виде, в котором указывается причина возврата.</w:t>
      </w:r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right="20" w:firstLine="560"/>
        <w:jc w:val="both"/>
        <w:rPr>
          <w:sz w:val="26"/>
          <w:szCs w:val="26"/>
        </w:rPr>
      </w:pPr>
      <w:r w:rsidRPr="00522C30">
        <w:rPr>
          <w:sz w:val="26"/>
          <w:szCs w:val="26"/>
        </w:rPr>
        <w:t xml:space="preserve">11. </w:t>
      </w:r>
      <w:proofErr w:type="gramStart"/>
      <w:r w:rsidRPr="00522C30">
        <w:rPr>
          <w:sz w:val="26"/>
          <w:szCs w:val="26"/>
        </w:rPr>
        <w:t xml:space="preserve">При положительном результате проверки в соответствии с требованиями, установленными настоящим Порядком, в Заявке, представленной на бумажном носителе, уполномоченным </w:t>
      </w:r>
      <w:proofErr w:type="spellStart"/>
      <w:r w:rsidRPr="00522C30">
        <w:rPr>
          <w:sz w:val="26"/>
          <w:szCs w:val="26"/>
        </w:rPr>
        <w:t>руководителемУФК</w:t>
      </w:r>
      <w:proofErr w:type="spellEnd"/>
      <w:r w:rsidRPr="00522C30">
        <w:rPr>
          <w:sz w:val="26"/>
          <w:szCs w:val="26"/>
        </w:rPr>
        <w:t xml:space="preserve"> по Республике Тыва работником проставляется отметка, подтверждающая санкционирование оплаты денежных обязательств получателя средств местного бюджета (администратора источников финансирования дефицита местного бюджета) с указанием даты, подписи, расшифровки подписи, содержащей фамилию, инициалы указанного работника, и Заявка принимается к исполнению.</w:t>
      </w:r>
      <w:proofErr w:type="gramEnd"/>
    </w:p>
    <w:p w:rsidR="00522C30" w:rsidRPr="00522C30" w:rsidRDefault="00522C30" w:rsidP="00522C30">
      <w:pPr>
        <w:pStyle w:val="1"/>
        <w:shd w:val="clear" w:color="auto" w:fill="auto"/>
        <w:spacing w:after="0" w:line="322" w:lineRule="exact"/>
        <w:ind w:left="20"/>
        <w:jc w:val="center"/>
        <w:rPr>
          <w:sz w:val="26"/>
          <w:szCs w:val="26"/>
        </w:rPr>
      </w:pPr>
    </w:p>
    <w:p w:rsidR="00712524" w:rsidRPr="00522C30" w:rsidRDefault="00712524">
      <w:pPr>
        <w:rPr>
          <w:rFonts w:ascii="Times New Roman" w:hAnsi="Times New Roman" w:cs="Times New Roman"/>
          <w:sz w:val="26"/>
          <w:szCs w:val="26"/>
        </w:rPr>
      </w:pPr>
    </w:p>
    <w:sectPr w:rsidR="00712524" w:rsidRPr="00522C30" w:rsidSect="007879D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07C"/>
    <w:multiLevelType w:val="hybridMultilevel"/>
    <w:tmpl w:val="5944DC0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BB49CC4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52B8F"/>
    <w:multiLevelType w:val="multilevel"/>
    <w:tmpl w:val="76E6BC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3E70C9"/>
    <w:multiLevelType w:val="multilevel"/>
    <w:tmpl w:val="9A809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853031"/>
    <w:multiLevelType w:val="hybridMultilevel"/>
    <w:tmpl w:val="53C6563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C30"/>
    <w:rsid w:val="00522C30"/>
    <w:rsid w:val="00712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22C3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22C3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522C30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522C30"/>
    <w:pPr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522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2081</Words>
  <Characters>11868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2</cp:revision>
  <dcterms:created xsi:type="dcterms:W3CDTF">2017-08-17T09:03:00Z</dcterms:created>
  <dcterms:modified xsi:type="dcterms:W3CDTF">2017-08-17T09:04:00Z</dcterms:modified>
</cp:coreProperties>
</file>