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350B" w14:textId="57076A11" w:rsidR="00992D3E" w:rsidRPr="007236BF" w:rsidRDefault="00832576" w:rsidP="007236BF">
      <w:pPr>
        <w:tabs>
          <w:tab w:val="left" w:pos="567"/>
        </w:tabs>
        <w:spacing w:before="24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Овюрски</w:t>
      </w:r>
      <w:r w:rsidR="00992D3E" w:rsidRPr="007236BF">
        <w:rPr>
          <w:rFonts w:ascii="Times New Roman" w:hAnsi="Times New Roman"/>
          <w:b/>
          <w:bCs/>
          <w:sz w:val="28"/>
          <w:szCs w:val="28"/>
        </w:rPr>
        <w:t>й район</w:t>
      </w:r>
    </w:p>
    <w:p w14:paraId="737D1587" w14:textId="5BE6C7E7" w:rsidR="005F11E6" w:rsidRPr="007236BF" w:rsidRDefault="00992D3E" w:rsidP="005F11E6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6BF">
        <w:rPr>
          <w:rFonts w:ascii="Times New Roman" w:hAnsi="Times New Roman"/>
          <w:sz w:val="28"/>
          <w:szCs w:val="28"/>
        </w:rPr>
        <w:t xml:space="preserve">В соответствии с приказом Министерства земельных и имущественных отношений Республики Тыва </w:t>
      </w:r>
      <w:r w:rsidR="00BB2FC8">
        <w:rPr>
          <w:rFonts w:ascii="Times New Roman" w:hAnsi="Times New Roman"/>
          <w:sz w:val="28"/>
          <w:szCs w:val="28"/>
        </w:rPr>
        <w:t xml:space="preserve">от </w:t>
      </w:r>
      <w:r w:rsidR="00A44AF1" w:rsidRPr="00A44AF1">
        <w:rPr>
          <w:rFonts w:ascii="Times New Roman" w:hAnsi="Times New Roman"/>
          <w:sz w:val="28"/>
          <w:szCs w:val="28"/>
        </w:rPr>
        <w:t>25.12.2020 № 93 «О проведении в 2022, 2023 годах государственной кадастровой оценки объектов недвижимости» в 2022 году на территории Республики Тыва проведена государственная кадастровая оценка земельных участков всех категорий земель</w:t>
      </w:r>
      <w:r w:rsidRPr="007236BF">
        <w:rPr>
          <w:rFonts w:ascii="Times New Roman" w:hAnsi="Times New Roman"/>
          <w:sz w:val="28"/>
          <w:szCs w:val="28"/>
        </w:rPr>
        <w:t>.</w:t>
      </w:r>
    </w:p>
    <w:p w14:paraId="212AD032" w14:textId="77777777" w:rsidR="000F1479" w:rsidRDefault="004563C7" w:rsidP="004A3E1F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3C7">
        <w:rPr>
          <w:rFonts w:ascii="Times New Roman" w:hAnsi="Times New Roman"/>
          <w:sz w:val="28"/>
          <w:szCs w:val="28"/>
        </w:rPr>
        <w:t>В рамках государственной кадастровой оценки в 2022 году оценено 123</w:t>
      </w:r>
      <w:r w:rsidR="00932CA3">
        <w:rPr>
          <w:rFonts w:ascii="Times New Roman" w:hAnsi="Times New Roman"/>
          <w:sz w:val="28"/>
          <w:szCs w:val="28"/>
        </w:rPr>
        <w:t> </w:t>
      </w:r>
      <w:r w:rsidR="00932CA3" w:rsidRPr="00932CA3">
        <w:rPr>
          <w:rFonts w:ascii="Times New Roman" w:hAnsi="Times New Roman"/>
          <w:sz w:val="28"/>
          <w:szCs w:val="28"/>
        </w:rPr>
        <w:t xml:space="preserve">479 </w:t>
      </w:r>
      <w:r w:rsidRPr="004563C7">
        <w:rPr>
          <w:rFonts w:ascii="Times New Roman" w:hAnsi="Times New Roman"/>
          <w:sz w:val="28"/>
          <w:szCs w:val="28"/>
        </w:rPr>
        <w:t>земельных участков, из них</w:t>
      </w:r>
      <w:r w:rsidR="000F1479">
        <w:rPr>
          <w:rFonts w:ascii="Times New Roman" w:hAnsi="Times New Roman"/>
          <w:sz w:val="28"/>
          <w:szCs w:val="28"/>
        </w:rPr>
        <w:t>:</w:t>
      </w:r>
    </w:p>
    <w:p w14:paraId="61822F62" w14:textId="77777777" w:rsidR="000F1479" w:rsidRDefault="000F1479" w:rsidP="004A3E1F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563C7" w:rsidRPr="004563C7">
        <w:rPr>
          <w:rFonts w:ascii="Times New Roman" w:hAnsi="Times New Roman"/>
          <w:sz w:val="28"/>
          <w:szCs w:val="28"/>
        </w:rPr>
        <w:t xml:space="preserve"> категории земель населенных пунктов – 108</w:t>
      </w:r>
      <w:r w:rsidR="00932CA3">
        <w:rPr>
          <w:rFonts w:ascii="Times New Roman" w:hAnsi="Times New Roman"/>
          <w:sz w:val="28"/>
          <w:szCs w:val="28"/>
        </w:rPr>
        <w:t> </w:t>
      </w:r>
      <w:r w:rsidR="004563C7" w:rsidRPr="004563C7">
        <w:rPr>
          <w:rFonts w:ascii="Times New Roman" w:hAnsi="Times New Roman"/>
          <w:sz w:val="28"/>
          <w:szCs w:val="28"/>
        </w:rPr>
        <w:t>167 ед.</w:t>
      </w:r>
      <w:r>
        <w:rPr>
          <w:rFonts w:ascii="Times New Roman" w:hAnsi="Times New Roman"/>
          <w:sz w:val="28"/>
          <w:szCs w:val="28"/>
        </w:rPr>
        <w:t>;</w:t>
      </w:r>
    </w:p>
    <w:p w14:paraId="7F713D23" w14:textId="77777777" w:rsidR="000F1479" w:rsidRDefault="000F1479" w:rsidP="004A3E1F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563C7" w:rsidRPr="004563C7">
        <w:rPr>
          <w:rFonts w:ascii="Times New Roman" w:hAnsi="Times New Roman"/>
          <w:sz w:val="28"/>
          <w:szCs w:val="28"/>
        </w:rPr>
        <w:t xml:space="preserve"> земель сельскохозяйственного назначения – 13</w:t>
      </w:r>
      <w:r w:rsidR="00932CA3">
        <w:rPr>
          <w:rFonts w:ascii="Times New Roman" w:hAnsi="Times New Roman"/>
          <w:sz w:val="28"/>
          <w:szCs w:val="28"/>
        </w:rPr>
        <w:t> </w:t>
      </w:r>
      <w:r w:rsidR="004563C7" w:rsidRPr="004563C7">
        <w:rPr>
          <w:rFonts w:ascii="Times New Roman" w:hAnsi="Times New Roman"/>
          <w:sz w:val="28"/>
          <w:szCs w:val="28"/>
        </w:rPr>
        <w:t>623 ед.</w:t>
      </w:r>
      <w:r>
        <w:rPr>
          <w:rFonts w:ascii="Times New Roman" w:hAnsi="Times New Roman"/>
          <w:sz w:val="28"/>
          <w:szCs w:val="28"/>
        </w:rPr>
        <w:t>;</w:t>
      </w:r>
    </w:p>
    <w:p w14:paraId="355B8025" w14:textId="124FE6C8" w:rsidR="000F1479" w:rsidRDefault="000F1479" w:rsidP="004A3E1F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563C7" w:rsidRPr="004563C7">
        <w:rPr>
          <w:rFonts w:ascii="Times New Roman" w:hAnsi="Times New Roman"/>
          <w:sz w:val="28"/>
          <w:szCs w:val="28"/>
        </w:rPr>
        <w:t xml:space="preserve"> земель промышленности, энергетики, транспорта, земли обороны, безопасности и земли иного специального назначения – 1</w:t>
      </w:r>
      <w:r w:rsidR="00932CA3">
        <w:rPr>
          <w:rFonts w:ascii="Times New Roman" w:hAnsi="Times New Roman"/>
          <w:sz w:val="28"/>
          <w:szCs w:val="28"/>
        </w:rPr>
        <w:t> </w:t>
      </w:r>
      <w:r w:rsidR="004563C7" w:rsidRPr="004563C7">
        <w:rPr>
          <w:rFonts w:ascii="Times New Roman" w:hAnsi="Times New Roman"/>
          <w:sz w:val="28"/>
          <w:szCs w:val="28"/>
        </w:rPr>
        <w:t>334 ед.</w:t>
      </w:r>
      <w:r>
        <w:rPr>
          <w:rFonts w:ascii="Times New Roman" w:hAnsi="Times New Roman"/>
          <w:sz w:val="28"/>
          <w:szCs w:val="28"/>
        </w:rPr>
        <w:t>;</w:t>
      </w:r>
    </w:p>
    <w:p w14:paraId="44A152CA" w14:textId="77777777" w:rsidR="000F1479" w:rsidRDefault="000F1479" w:rsidP="004A3E1F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563C7" w:rsidRPr="004563C7">
        <w:rPr>
          <w:rFonts w:ascii="Times New Roman" w:hAnsi="Times New Roman"/>
          <w:sz w:val="28"/>
          <w:szCs w:val="28"/>
        </w:rPr>
        <w:t xml:space="preserve"> земель особо охраняемых территорий и объектов – 194 ед.</w:t>
      </w:r>
      <w:r>
        <w:rPr>
          <w:rFonts w:ascii="Times New Roman" w:hAnsi="Times New Roman"/>
          <w:sz w:val="28"/>
          <w:szCs w:val="28"/>
        </w:rPr>
        <w:t>;</w:t>
      </w:r>
    </w:p>
    <w:p w14:paraId="60CEA17D" w14:textId="77777777" w:rsidR="000F1479" w:rsidRDefault="000F1479" w:rsidP="004A3E1F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563C7" w:rsidRPr="004563C7">
        <w:rPr>
          <w:rFonts w:ascii="Times New Roman" w:hAnsi="Times New Roman"/>
          <w:sz w:val="28"/>
          <w:szCs w:val="28"/>
        </w:rPr>
        <w:t xml:space="preserve"> земель лесного фонда – 61 ед.</w:t>
      </w:r>
      <w:r>
        <w:rPr>
          <w:rFonts w:ascii="Times New Roman" w:hAnsi="Times New Roman"/>
          <w:sz w:val="28"/>
          <w:szCs w:val="28"/>
        </w:rPr>
        <w:t>;</w:t>
      </w:r>
    </w:p>
    <w:p w14:paraId="6197F688" w14:textId="77777777" w:rsidR="000F1479" w:rsidRDefault="000F1479" w:rsidP="004A3E1F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563C7" w:rsidRPr="004563C7">
        <w:rPr>
          <w:rFonts w:ascii="Times New Roman" w:hAnsi="Times New Roman"/>
          <w:sz w:val="28"/>
          <w:szCs w:val="28"/>
        </w:rPr>
        <w:t xml:space="preserve"> земель водного фонда – 4 ед.</w:t>
      </w:r>
      <w:r>
        <w:rPr>
          <w:rFonts w:ascii="Times New Roman" w:hAnsi="Times New Roman"/>
          <w:sz w:val="28"/>
          <w:szCs w:val="28"/>
        </w:rPr>
        <w:t>;</w:t>
      </w:r>
    </w:p>
    <w:p w14:paraId="4B360DA9" w14:textId="77777777" w:rsidR="000F1479" w:rsidRDefault="000F1479" w:rsidP="004A3E1F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563C7" w:rsidRPr="004563C7">
        <w:rPr>
          <w:rFonts w:ascii="Times New Roman" w:hAnsi="Times New Roman"/>
          <w:sz w:val="28"/>
          <w:szCs w:val="28"/>
        </w:rPr>
        <w:t xml:space="preserve"> земли запаса – 6 ед.</w:t>
      </w:r>
      <w:r>
        <w:rPr>
          <w:rFonts w:ascii="Times New Roman" w:hAnsi="Times New Roman"/>
          <w:sz w:val="28"/>
          <w:szCs w:val="28"/>
        </w:rPr>
        <w:t>;</w:t>
      </w:r>
    </w:p>
    <w:p w14:paraId="6EFC24C3" w14:textId="73B6F837" w:rsidR="004563C7" w:rsidRDefault="000F1479" w:rsidP="004A3E1F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563C7" w:rsidRPr="004563C7">
        <w:rPr>
          <w:rFonts w:ascii="Times New Roman" w:hAnsi="Times New Roman"/>
          <w:sz w:val="28"/>
          <w:szCs w:val="28"/>
        </w:rPr>
        <w:t xml:space="preserve"> категория земель не установлена – 90 ед.</w:t>
      </w:r>
    </w:p>
    <w:p w14:paraId="2FB6B184" w14:textId="4FB36FC5" w:rsidR="000D7EC7" w:rsidRDefault="00992D3E" w:rsidP="004A3E1F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6BF">
        <w:rPr>
          <w:rFonts w:ascii="Times New Roman" w:hAnsi="Times New Roman"/>
          <w:sz w:val="28"/>
          <w:szCs w:val="28"/>
        </w:rPr>
        <w:t xml:space="preserve">В </w:t>
      </w:r>
      <w:r w:rsidR="00832576">
        <w:rPr>
          <w:rFonts w:ascii="Times New Roman" w:hAnsi="Times New Roman"/>
          <w:sz w:val="28"/>
          <w:szCs w:val="28"/>
        </w:rPr>
        <w:t>Овюр</w:t>
      </w:r>
      <w:r w:rsidR="00351417" w:rsidRPr="007236BF">
        <w:rPr>
          <w:rFonts w:ascii="Times New Roman" w:hAnsi="Times New Roman"/>
          <w:sz w:val="28"/>
          <w:szCs w:val="28"/>
        </w:rPr>
        <w:t>ском</w:t>
      </w:r>
      <w:r w:rsidRPr="007236BF">
        <w:rPr>
          <w:rFonts w:ascii="Times New Roman" w:hAnsi="Times New Roman"/>
          <w:sz w:val="28"/>
          <w:szCs w:val="28"/>
        </w:rPr>
        <w:t xml:space="preserve"> районе количество оцененных участков составляет </w:t>
      </w:r>
      <w:r w:rsidR="00832576">
        <w:rPr>
          <w:rFonts w:ascii="Times New Roman" w:hAnsi="Times New Roman"/>
          <w:sz w:val="28"/>
          <w:szCs w:val="28"/>
        </w:rPr>
        <w:t>3</w:t>
      </w:r>
      <w:r w:rsidR="007236BF"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325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165</w:t>
      </w:r>
      <w:r w:rsidRPr="007236BF">
        <w:rPr>
          <w:rFonts w:ascii="Times New Roman" w:hAnsi="Times New Roman"/>
          <w:sz w:val="28"/>
          <w:szCs w:val="28"/>
        </w:rPr>
        <w:t xml:space="preserve"> ед. </w:t>
      </w:r>
      <w:r w:rsidR="007236BF" w:rsidRPr="007236BF">
        <w:rPr>
          <w:rFonts w:ascii="Times New Roman" w:hAnsi="Times New Roman"/>
          <w:sz w:val="28"/>
          <w:szCs w:val="28"/>
        </w:rPr>
        <w:t>(</w:t>
      </w:r>
      <w:r w:rsidR="00832576">
        <w:rPr>
          <w:rFonts w:ascii="Times New Roman" w:hAnsi="Times New Roman"/>
          <w:sz w:val="28"/>
          <w:szCs w:val="28"/>
        </w:rPr>
        <w:t>2,56</w:t>
      </w:r>
      <w:r w:rsidR="000F1479" w:rsidRPr="000F1479">
        <w:rPr>
          <w:rFonts w:ascii="Times New Roman" w:hAnsi="Times New Roman"/>
          <w:sz w:val="28"/>
          <w:szCs w:val="28"/>
        </w:rPr>
        <w:t xml:space="preserve"> </w:t>
      </w:r>
      <w:r w:rsidRPr="007236BF">
        <w:rPr>
          <w:rFonts w:ascii="Times New Roman" w:hAnsi="Times New Roman"/>
          <w:sz w:val="28"/>
          <w:szCs w:val="28"/>
        </w:rPr>
        <w:t>% от общего количества</w:t>
      </w:r>
      <w:r w:rsidR="007236BF" w:rsidRPr="007236BF">
        <w:rPr>
          <w:rFonts w:ascii="Times New Roman" w:hAnsi="Times New Roman"/>
          <w:sz w:val="28"/>
          <w:szCs w:val="28"/>
        </w:rPr>
        <w:t xml:space="preserve"> оцененных участков)</w:t>
      </w:r>
      <w:r w:rsidR="000D7EC7">
        <w:rPr>
          <w:rFonts w:ascii="Times New Roman" w:hAnsi="Times New Roman"/>
          <w:sz w:val="28"/>
          <w:szCs w:val="28"/>
        </w:rPr>
        <w:t>, и</w:t>
      </w:r>
      <w:r w:rsidRPr="007236BF">
        <w:rPr>
          <w:rFonts w:ascii="Times New Roman" w:hAnsi="Times New Roman"/>
          <w:sz w:val="28"/>
          <w:szCs w:val="28"/>
        </w:rPr>
        <w:t>з них категории</w:t>
      </w:r>
      <w:r w:rsidR="000D7EC7">
        <w:rPr>
          <w:rFonts w:ascii="Times New Roman" w:hAnsi="Times New Roman"/>
          <w:sz w:val="28"/>
          <w:szCs w:val="28"/>
        </w:rPr>
        <w:t>:</w:t>
      </w:r>
    </w:p>
    <w:p w14:paraId="5A246387" w14:textId="36E9CF18" w:rsidR="000D7EC7" w:rsidRDefault="000D7EC7" w:rsidP="004A3E1F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92D3E" w:rsidRPr="007236BF">
        <w:rPr>
          <w:rFonts w:ascii="Times New Roman" w:hAnsi="Times New Roman"/>
          <w:sz w:val="28"/>
          <w:szCs w:val="28"/>
        </w:rPr>
        <w:t xml:space="preserve"> </w:t>
      </w:r>
      <w:r w:rsidR="007236BF" w:rsidRPr="007236BF">
        <w:rPr>
          <w:rFonts w:ascii="Times New Roman" w:hAnsi="Times New Roman"/>
          <w:sz w:val="28"/>
          <w:szCs w:val="28"/>
        </w:rPr>
        <w:t>земель населенных пунктов</w:t>
      </w:r>
      <w:r w:rsidR="00992D3E" w:rsidRPr="007236BF">
        <w:rPr>
          <w:rFonts w:ascii="Times New Roman" w:hAnsi="Times New Roman"/>
          <w:sz w:val="28"/>
          <w:szCs w:val="28"/>
        </w:rPr>
        <w:t xml:space="preserve"> – </w:t>
      </w:r>
      <w:r w:rsidR="00832576">
        <w:rPr>
          <w:rFonts w:ascii="Times New Roman" w:hAnsi="Times New Roman"/>
          <w:sz w:val="28"/>
          <w:szCs w:val="28"/>
        </w:rPr>
        <w:t>2</w:t>
      </w:r>
      <w:r w:rsidR="00DB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325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661</w:t>
      </w:r>
      <w:r w:rsidR="00DB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92D3E" w:rsidRPr="007236BF">
        <w:rPr>
          <w:rFonts w:ascii="Times New Roman" w:hAnsi="Times New Roman"/>
          <w:sz w:val="28"/>
          <w:szCs w:val="28"/>
        </w:rPr>
        <w:t xml:space="preserve">ед. </w:t>
      </w:r>
      <w:r>
        <w:rPr>
          <w:rFonts w:ascii="Times New Roman" w:hAnsi="Times New Roman"/>
          <w:sz w:val="28"/>
          <w:szCs w:val="28"/>
        </w:rPr>
        <w:t xml:space="preserve">или </w:t>
      </w:r>
      <w:r w:rsidR="00832576">
        <w:rPr>
          <w:rFonts w:ascii="Times New Roman" w:hAnsi="Times New Roman"/>
          <w:sz w:val="28"/>
          <w:szCs w:val="28"/>
        </w:rPr>
        <w:t>2,46</w:t>
      </w:r>
      <w:r w:rsidR="00E3325A">
        <w:rPr>
          <w:rFonts w:ascii="Times New Roman" w:hAnsi="Times New Roman"/>
          <w:sz w:val="28"/>
          <w:szCs w:val="28"/>
        </w:rPr>
        <w:t xml:space="preserve"> </w:t>
      </w:r>
      <w:r w:rsidR="00992D3E" w:rsidRPr="007236BF">
        <w:rPr>
          <w:rFonts w:ascii="Times New Roman" w:hAnsi="Times New Roman"/>
          <w:sz w:val="28"/>
          <w:szCs w:val="28"/>
        </w:rPr>
        <w:t>%</w:t>
      </w:r>
      <w:r w:rsidR="007236BF" w:rsidRPr="007236BF">
        <w:rPr>
          <w:rFonts w:ascii="Times New Roman" w:hAnsi="Times New Roman"/>
          <w:sz w:val="28"/>
          <w:szCs w:val="28"/>
        </w:rPr>
        <w:t xml:space="preserve"> от общего количества оцененных </w:t>
      </w:r>
      <w:r>
        <w:rPr>
          <w:rFonts w:ascii="Times New Roman" w:hAnsi="Times New Roman"/>
          <w:sz w:val="28"/>
          <w:szCs w:val="28"/>
        </w:rPr>
        <w:t xml:space="preserve">участков </w:t>
      </w:r>
      <w:r w:rsidR="007236BF" w:rsidRPr="007236BF">
        <w:rPr>
          <w:rFonts w:ascii="Times New Roman" w:hAnsi="Times New Roman"/>
          <w:sz w:val="28"/>
          <w:szCs w:val="28"/>
        </w:rPr>
        <w:t>земель населенных пунктов</w:t>
      </w:r>
      <w:r>
        <w:rPr>
          <w:rFonts w:ascii="Times New Roman" w:hAnsi="Times New Roman"/>
          <w:sz w:val="28"/>
          <w:szCs w:val="28"/>
        </w:rPr>
        <w:t>;</w:t>
      </w:r>
    </w:p>
    <w:p w14:paraId="3BB7FAA5" w14:textId="51803508" w:rsidR="00992D3E" w:rsidRDefault="000D7EC7" w:rsidP="004A3E1F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92D3E" w:rsidRPr="007236BF">
        <w:rPr>
          <w:rFonts w:ascii="Times New Roman" w:hAnsi="Times New Roman"/>
          <w:sz w:val="28"/>
          <w:szCs w:val="28"/>
        </w:rPr>
        <w:t xml:space="preserve"> </w:t>
      </w:r>
      <w:r w:rsidR="007236BF" w:rsidRPr="007236BF">
        <w:rPr>
          <w:rFonts w:ascii="Times New Roman" w:hAnsi="Times New Roman"/>
          <w:sz w:val="28"/>
          <w:szCs w:val="28"/>
        </w:rPr>
        <w:t>земель сельскохозяйственного назначения</w:t>
      </w:r>
      <w:r w:rsidR="00992D3E" w:rsidRPr="007236BF">
        <w:rPr>
          <w:rFonts w:ascii="Times New Roman" w:hAnsi="Times New Roman"/>
          <w:sz w:val="28"/>
          <w:szCs w:val="28"/>
        </w:rPr>
        <w:t xml:space="preserve"> – </w:t>
      </w:r>
      <w:r w:rsidR="00832576">
        <w:rPr>
          <w:rFonts w:ascii="Times New Roman" w:hAnsi="Times New Roman"/>
          <w:sz w:val="28"/>
          <w:szCs w:val="28"/>
        </w:rPr>
        <w:t>431</w:t>
      </w:r>
      <w:r w:rsidR="001A1590">
        <w:rPr>
          <w:rFonts w:ascii="Times New Roman" w:hAnsi="Times New Roman"/>
          <w:sz w:val="28"/>
          <w:szCs w:val="28"/>
        </w:rPr>
        <w:t xml:space="preserve"> </w:t>
      </w:r>
      <w:r w:rsidR="00992D3E" w:rsidRPr="007236BF">
        <w:rPr>
          <w:rFonts w:ascii="Times New Roman" w:hAnsi="Times New Roman"/>
          <w:sz w:val="28"/>
          <w:szCs w:val="28"/>
        </w:rPr>
        <w:t xml:space="preserve">ед. или </w:t>
      </w:r>
      <w:r w:rsidR="00832576">
        <w:rPr>
          <w:rFonts w:ascii="Times New Roman" w:hAnsi="Times New Roman"/>
          <w:sz w:val="28"/>
          <w:szCs w:val="28"/>
        </w:rPr>
        <w:t>3,16</w:t>
      </w:r>
      <w:r w:rsidR="001F6E5B">
        <w:rPr>
          <w:rFonts w:ascii="Times New Roman" w:hAnsi="Times New Roman"/>
          <w:sz w:val="28"/>
          <w:szCs w:val="28"/>
        </w:rPr>
        <w:t xml:space="preserve"> </w:t>
      </w:r>
      <w:r w:rsidR="00992D3E" w:rsidRPr="007236BF">
        <w:rPr>
          <w:rFonts w:ascii="Times New Roman" w:hAnsi="Times New Roman"/>
          <w:sz w:val="28"/>
          <w:szCs w:val="28"/>
        </w:rPr>
        <w:t>% от общего количества оцен</w:t>
      </w:r>
      <w:r w:rsidR="007236BF" w:rsidRPr="007236BF">
        <w:rPr>
          <w:rFonts w:ascii="Times New Roman" w:hAnsi="Times New Roman"/>
          <w:sz w:val="28"/>
          <w:szCs w:val="28"/>
        </w:rPr>
        <w:t>енны</w:t>
      </w:r>
      <w:r w:rsidR="00992D3E" w:rsidRPr="007236BF"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t xml:space="preserve">участков </w:t>
      </w:r>
      <w:r w:rsidR="00992D3E" w:rsidRPr="007236BF">
        <w:rPr>
          <w:rFonts w:ascii="Times New Roman" w:hAnsi="Times New Roman"/>
          <w:sz w:val="28"/>
          <w:szCs w:val="28"/>
        </w:rPr>
        <w:t>земель сельскохозяйственного назначения</w:t>
      </w:r>
      <w:r w:rsidR="000F1479">
        <w:rPr>
          <w:rFonts w:ascii="Times New Roman" w:hAnsi="Times New Roman"/>
          <w:sz w:val="28"/>
          <w:szCs w:val="28"/>
        </w:rPr>
        <w:t>;</w:t>
      </w:r>
    </w:p>
    <w:p w14:paraId="700F7850" w14:textId="09C1F635" w:rsidR="001A1590" w:rsidRDefault="001A1590" w:rsidP="001A1590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563C7">
        <w:rPr>
          <w:rFonts w:ascii="Times New Roman" w:hAnsi="Times New Roman"/>
          <w:sz w:val="28"/>
          <w:szCs w:val="28"/>
        </w:rPr>
        <w:t xml:space="preserve"> земель </w:t>
      </w:r>
      <w:bookmarkStart w:id="0" w:name="_Hlk115855865"/>
      <w:r w:rsidRPr="004563C7">
        <w:rPr>
          <w:rFonts w:ascii="Times New Roman" w:hAnsi="Times New Roman"/>
          <w:sz w:val="28"/>
          <w:szCs w:val="28"/>
        </w:rPr>
        <w:t xml:space="preserve">промышленности, энергетики, транспорта, земли обороны, безопасности и земли иного специального назначения </w:t>
      </w:r>
      <w:bookmarkEnd w:id="0"/>
      <w:r w:rsidRPr="004563C7">
        <w:rPr>
          <w:rFonts w:ascii="Times New Roman" w:hAnsi="Times New Roman"/>
          <w:sz w:val="28"/>
          <w:szCs w:val="28"/>
        </w:rPr>
        <w:t xml:space="preserve">– </w:t>
      </w:r>
      <w:r w:rsidR="00832576">
        <w:rPr>
          <w:rFonts w:ascii="Times New Roman" w:hAnsi="Times New Roman"/>
          <w:sz w:val="28"/>
          <w:szCs w:val="28"/>
        </w:rPr>
        <w:t>72</w:t>
      </w:r>
      <w:r w:rsidRPr="004563C7">
        <w:rPr>
          <w:rFonts w:ascii="Times New Roman" w:hAnsi="Times New Roman"/>
          <w:sz w:val="28"/>
          <w:szCs w:val="28"/>
        </w:rPr>
        <w:t xml:space="preserve"> 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6BF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5,</w:t>
      </w:r>
      <w:r w:rsidR="008325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6BF">
        <w:rPr>
          <w:rFonts w:ascii="Times New Roman" w:hAnsi="Times New Roman"/>
          <w:sz w:val="28"/>
          <w:szCs w:val="28"/>
        </w:rPr>
        <w:t xml:space="preserve">% от общего количества оцененных </w:t>
      </w:r>
      <w:r>
        <w:rPr>
          <w:rFonts w:ascii="Times New Roman" w:hAnsi="Times New Roman"/>
          <w:sz w:val="28"/>
          <w:szCs w:val="28"/>
        </w:rPr>
        <w:t xml:space="preserve">участков </w:t>
      </w:r>
      <w:r w:rsidRPr="004563C7">
        <w:rPr>
          <w:rFonts w:ascii="Times New Roman" w:hAnsi="Times New Roman"/>
          <w:sz w:val="28"/>
          <w:szCs w:val="28"/>
        </w:rPr>
        <w:t>земель промышленности, энергетики, транспорта, земли обороны, безопасности и земли иного специального назначения</w:t>
      </w:r>
      <w:r>
        <w:rPr>
          <w:rFonts w:ascii="Times New Roman" w:hAnsi="Times New Roman"/>
          <w:sz w:val="28"/>
          <w:szCs w:val="28"/>
        </w:rPr>
        <w:t>;</w:t>
      </w:r>
    </w:p>
    <w:p w14:paraId="30CE3234" w14:textId="6D12FFB8" w:rsidR="001A1590" w:rsidRDefault="000F1479" w:rsidP="00832576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563C7">
        <w:rPr>
          <w:rFonts w:ascii="Times New Roman" w:hAnsi="Times New Roman"/>
          <w:sz w:val="28"/>
          <w:szCs w:val="28"/>
        </w:rPr>
        <w:t xml:space="preserve"> земель особо охраняемых территорий и объектов – </w:t>
      </w:r>
      <w:r w:rsidR="0083257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3C7">
        <w:rPr>
          <w:rFonts w:ascii="Times New Roman" w:hAnsi="Times New Roman"/>
          <w:sz w:val="28"/>
          <w:szCs w:val="28"/>
        </w:rPr>
        <w:t>ед.</w:t>
      </w:r>
      <w:r w:rsidR="00E3325A">
        <w:rPr>
          <w:rFonts w:ascii="Times New Roman" w:hAnsi="Times New Roman"/>
          <w:sz w:val="28"/>
          <w:szCs w:val="28"/>
        </w:rPr>
        <w:t xml:space="preserve"> </w:t>
      </w:r>
      <w:r w:rsidR="00E3325A" w:rsidRPr="007236BF">
        <w:rPr>
          <w:rFonts w:ascii="Times New Roman" w:hAnsi="Times New Roman"/>
          <w:sz w:val="28"/>
          <w:szCs w:val="28"/>
        </w:rPr>
        <w:t xml:space="preserve">или </w:t>
      </w:r>
      <w:r w:rsidR="006E4C61">
        <w:rPr>
          <w:rFonts w:ascii="Times New Roman" w:hAnsi="Times New Roman"/>
          <w:sz w:val="28"/>
          <w:szCs w:val="28"/>
        </w:rPr>
        <w:t>0</w:t>
      </w:r>
      <w:r w:rsidR="001A1590">
        <w:rPr>
          <w:rFonts w:ascii="Times New Roman" w:hAnsi="Times New Roman"/>
          <w:sz w:val="28"/>
          <w:szCs w:val="28"/>
        </w:rPr>
        <w:t>,</w:t>
      </w:r>
      <w:r w:rsidR="00832576">
        <w:rPr>
          <w:rFonts w:ascii="Times New Roman" w:hAnsi="Times New Roman"/>
          <w:sz w:val="28"/>
          <w:szCs w:val="28"/>
        </w:rPr>
        <w:t>52</w:t>
      </w:r>
      <w:r w:rsidR="00E3325A">
        <w:rPr>
          <w:rFonts w:ascii="Times New Roman" w:hAnsi="Times New Roman"/>
          <w:sz w:val="28"/>
          <w:szCs w:val="28"/>
        </w:rPr>
        <w:t xml:space="preserve"> </w:t>
      </w:r>
      <w:r w:rsidR="00E3325A" w:rsidRPr="007236BF">
        <w:rPr>
          <w:rFonts w:ascii="Times New Roman" w:hAnsi="Times New Roman"/>
          <w:sz w:val="28"/>
          <w:szCs w:val="28"/>
        </w:rPr>
        <w:t xml:space="preserve">% от общего количества оцененных </w:t>
      </w:r>
      <w:r w:rsidR="00E3325A">
        <w:rPr>
          <w:rFonts w:ascii="Times New Roman" w:hAnsi="Times New Roman"/>
          <w:sz w:val="28"/>
          <w:szCs w:val="28"/>
        </w:rPr>
        <w:t xml:space="preserve">участков </w:t>
      </w:r>
      <w:r w:rsidR="00E3325A" w:rsidRPr="004563C7">
        <w:rPr>
          <w:rFonts w:ascii="Times New Roman" w:hAnsi="Times New Roman"/>
          <w:sz w:val="28"/>
          <w:szCs w:val="28"/>
        </w:rPr>
        <w:t>земель особо охраняемых территорий и объектов</w:t>
      </w:r>
      <w:r w:rsidR="00832576">
        <w:rPr>
          <w:rFonts w:ascii="Times New Roman" w:hAnsi="Times New Roman"/>
          <w:sz w:val="28"/>
          <w:szCs w:val="28"/>
        </w:rPr>
        <w:t>.</w:t>
      </w:r>
    </w:p>
    <w:p w14:paraId="019FCFF5" w14:textId="301C9952" w:rsidR="00404697" w:rsidRPr="00404697" w:rsidRDefault="00222477" w:rsidP="00404697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236BF"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>методическими указаниями о государственной кадастровой оценки</w:t>
      </w:r>
      <w:r w:rsidRPr="00723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992D3E" w:rsidRPr="007236BF">
        <w:rPr>
          <w:rFonts w:ascii="Times New Roman" w:hAnsi="Times New Roman"/>
          <w:sz w:val="28"/>
          <w:szCs w:val="28"/>
        </w:rPr>
        <w:t xml:space="preserve"> результате группировки объекты оценки были распределены по 14 сегментам.</w:t>
      </w:r>
    </w:p>
    <w:tbl>
      <w:tblPr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3553"/>
        <w:gridCol w:w="1133"/>
        <w:gridCol w:w="1133"/>
        <w:gridCol w:w="1275"/>
        <w:gridCol w:w="1128"/>
        <w:gridCol w:w="1282"/>
      </w:tblGrid>
      <w:tr w:rsidR="00E6780C" w:rsidRPr="0021534D" w14:paraId="59A43D47" w14:textId="77777777" w:rsidTr="00E6780C">
        <w:trPr>
          <w:trHeight w:val="210"/>
          <w:tblHeader/>
          <w:jc w:val="center"/>
        </w:trPr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536B4BB3" w14:textId="77777777" w:rsidR="00E6780C" w:rsidRDefault="00E6780C" w:rsidP="00F719EA">
            <w:pPr>
              <w:spacing w:after="0" w:line="276" w:lineRule="auto"/>
              <w:ind w:left="30" w:firstLine="155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53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</w:t>
            </w:r>
          </w:p>
          <w:p w14:paraId="5643FFF2" w14:textId="77777777" w:rsidR="00E6780C" w:rsidRPr="0021534D" w:rsidRDefault="00E6780C" w:rsidP="00404697">
            <w:pPr>
              <w:spacing w:after="0" w:line="276" w:lineRule="auto"/>
              <w:ind w:left="30" w:firstLine="279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Сегмент</w:t>
            </w:r>
          </w:p>
        </w:tc>
        <w:tc>
          <w:tcPr>
            <w:tcW w:w="4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ED2AA" w14:textId="54EEE799" w:rsidR="00E6780C" w:rsidRPr="0021534D" w:rsidRDefault="00E6780C" w:rsidP="00E6780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53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ЗУ в категории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7EE0" w14:textId="3F86FDF9" w:rsidR="00E6780C" w:rsidRPr="0021534D" w:rsidRDefault="00E6780C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53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ЗУ</w:t>
            </w:r>
          </w:p>
        </w:tc>
      </w:tr>
      <w:tr w:rsidR="00E6780C" w:rsidRPr="0021534D" w14:paraId="5DA60F5B" w14:textId="77777777" w:rsidTr="00E6780C">
        <w:trPr>
          <w:trHeight w:val="210"/>
          <w:tblHeader/>
          <w:jc w:val="center"/>
        </w:trPr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A7D6" w14:textId="77777777" w:rsidR="00E6780C" w:rsidRPr="0021534D" w:rsidRDefault="00E6780C" w:rsidP="00404697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6475" w14:textId="77777777" w:rsidR="00E6780C" w:rsidRPr="0021534D" w:rsidRDefault="00E6780C" w:rsidP="00304A9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53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Земли НП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9A53" w14:textId="77777777" w:rsidR="00E6780C" w:rsidRPr="0021534D" w:rsidRDefault="00E6780C" w:rsidP="00304A9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53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Земли СХ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AB36" w14:textId="7C9E587C" w:rsidR="00E6780C" w:rsidRPr="0021534D" w:rsidRDefault="00E6780C" w:rsidP="00F719E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53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Земли промыш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1001" w14:textId="71FC7195" w:rsidR="00E6780C" w:rsidRPr="0021534D" w:rsidRDefault="00E6780C" w:rsidP="00304A9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Земли ООПТ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D068" w14:textId="77777777" w:rsidR="00E6780C" w:rsidRPr="0021534D" w:rsidRDefault="00E6780C" w:rsidP="00404697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32576" w:rsidRPr="009C7262" w14:paraId="37F327B9" w14:textId="77777777" w:rsidTr="00E6780C">
        <w:trPr>
          <w:trHeight w:val="340"/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ED5A" w14:textId="77777777" w:rsidR="00832576" w:rsidRPr="009C7262" w:rsidRDefault="00832576" w:rsidP="00404697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72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сегмент "Сельскохозяйственное использование"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60A0" w14:textId="31C231C4" w:rsidR="00832576" w:rsidRPr="009C7262" w:rsidRDefault="00E6780C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A62E" w14:textId="26803F0E" w:rsidR="00832576" w:rsidRPr="009C7262" w:rsidRDefault="00E6780C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038E7" w14:textId="28924383" w:rsidR="00832576" w:rsidRPr="003B1BFC" w:rsidRDefault="00E6780C" w:rsidP="00F719E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F432" w14:textId="2FF41541" w:rsidR="00832576" w:rsidRPr="009C7262" w:rsidRDefault="00832576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B067" w14:textId="00603AE1" w:rsidR="00832576" w:rsidRPr="009C7262" w:rsidRDefault="00E6780C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</w:tr>
      <w:tr w:rsidR="00832576" w:rsidRPr="009C7262" w14:paraId="77596A3D" w14:textId="77777777" w:rsidTr="00E6780C">
        <w:trPr>
          <w:trHeight w:val="340"/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C8EA" w14:textId="77777777" w:rsidR="00832576" w:rsidRPr="009C7262" w:rsidRDefault="00832576" w:rsidP="00404697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72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 сегмент "Жилая застройка"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7148" w14:textId="382557D9" w:rsidR="00832576" w:rsidRPr="009C7262" w:rsidRDefault="00E6780C" w:rsidP="00ED0B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D9A71" w14:textId="77777777" w:rsidR="00832576" w:rsidRPr="009C7262" w:rsidRDefault="00832576" w:rsidP="00ED0B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0FF4D" w14:textId="058C3941" w:rsidR="00832576" w:rsidRPr="003B1BFC" w:rsidRDefault="00832576" w:rsidP="00F719E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BF3D" w14:textId="51F3CB09" w:rsidR="00832576" w:rsidRPr="009C7262" w:rsidRDefault="00832576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B2DD1" w14:textId="06BF835D" w:rsidR="00832576" w:rsidRPr="009C7262" w:rsidRDefault="00E6780C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32576" w:rsidRPr="009C7262" w14:paraId="390DBF21" w14:textId="77777777" w:rsidTr="00E6780C">
        <w:trPr>
          <w:trHeight w:val="340"/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92A8" w14:textId="77777777" w:rsidR="00832576" w:rsidRPr="009C7262" w:rsidRDefault="00832576" w:rsidP="00404697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72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сегмент "Общественное использование"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1179" w14:textId="320B35ED" w:rsidR="00832576" w:rsidRPr="009C7262" w:rsidRDefault="00832576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E67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B0BA7" w14:textId="11670AB8" w:rsidR="00832576" w:rsidRPr="009C7262" w:rsidRDefault="00E6780C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E1D9D" w14:textId="196B8F4D" w:rsidR="00832576" w:rsidRPr="003B1BFC" w:rsidRDefault="00E6780C" w:rsidP="00F719E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BE17" w14:textId="3295C047" w:rsidR="00832576" w:rsidRPr="009C7262" w:rsidRDefault="00E6780C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6EC8" w14:textId="6AABE188" w:rsidR="00832576" w:rsidRPr="009C7262" w:rsidRDefault="00E6780C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  <w:tr w:rsidR="00832576" w:rsidRPr="009C7262" w14:paraId="20ABCF92" w14:textId="77777777" w:rsidTr="00E6780C">
        <w:trPr>
          <w:trHeight w:val="340"/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31F9" w14:textId="77777777" w:rsidR="00832576" w:rsidRPr="009C7262" w:rsidRDefault="00832576" w:rsidP="00404697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72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сегмент "Предпринимательство"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0742" w14:textId="159335F5" w:rsidR="00832576" w:rsidRPr="009C7262" w:rsidRDefault="00E6780C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832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34BC" w14:textId="240D030C" w:rsidR="00832576" w:rsidRPr="009C7262" w:rsidRDefault="00E6780C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74C7F" w14:textId="11E467FB" w:rsidR="00832576" w:rsidRPr="003B1BFC" w:rsidRDefault="00E6780C" w:rsidP="00F719E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EE42" w14:textId="08A2F9D6" w:rsidR="00832576" w:rsidRPr="009C7262" w:rsidRDefault="00832576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6170" w14:textId="6D795256" w:rsidR="00832576" w:rsidRPr="009C7262" w:rsidRDefault="00E6780C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832576" w:rsidRPr="009C7262" w14:paraId="48600D64" w14:textId="77777777" w:rsidTr="00E6780C">
        <w:trPr>
          <w:trHeight w:val="340"/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CB42" w14:textId="77777777" w:rsidR="00832576" w:rsidRPr="009C7262" w:rsidRDefault="00832576" w:rsidP="00404697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72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сегмент "Отдых (рекреация)"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9E2A" w14:textId="7AE086B9" w:rsidR="00832576" w:rsidRPr="009C7262" w:rsidRDefault="00E6780C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560D" w14:textId="3F34A4D5" w:rsidR="00832576" w:rsidRPr="009C7262" w:rsidRDefault="00E6780C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18850" w14:textId="5215C05B" w:rsidR="00832576" w:rsidRPr="003B1BFC" w:rsidRDefault="00832576" w:rsidP="00F719E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EB51" w14:textId="75500FDE" w:rsidR="00832576" w:rsidRPr="009C7262" w:rsidRDefault="00E6780C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4BDD" w14:textId="62589D55" w:rsidR="00832576" w:rsidRPr="009C7262" w:rsidRDefault="00E6780C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32576" w:rsidRPr="009C7262" w14:paraId="387749CB" w14:textId="77777777" w:rsidTr="00E6780C">
        <w:trPr>
          <w:trHeight w:val="340"/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8056" w14:textId="77777777" w:rsidR="00832576" w:rsidRPr="009C7262" w:rsidRDefault="00832576" w:rsidP="00404697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72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сегмент "Производственная деятельность"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1B5E" w14:textId="422B92C0" w:rsidR="00832576" w:rsidRPr="009C7262" w:rsidRDefault="00E6780C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C9A80" w14:textId="337379F5" w:rsidR="00832576" w:rsidRPr="009C7262" w:rsidRDefault="00E6780C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18F3C" w14:textId="3767B1C2" w:rsidR="00832576" w:rsidRPr="003B1BFC" w:rsidRDefault="00E6780C" w:rsidP="00F719E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E090" w14:textId="3F7929BC" w:rsidR="00832576" w:rsidRPr="009C7262" w:rsidRDefault="00E6780C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A518D" w14:textId="11485363" w:rsidR="00832576" w:rsidRPr="009C7262" w:rsidRDefault="00E6780C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</w:tr>
      <w:tr w:rsidR="00832576" w:rsidRPr="009C7262" w14:paraId="5BE6102A" w14:textId="77777777" w:rsidTr="00E6780C">
        <w:trPr>
          <w:trHeight w:val="340"/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B3BB" w14:textId="77777777" w:rsidR="00832576" w:rsidRPr="009C7262" w:rsidRDefault="00832576" w:rsidP="00404697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72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сегмент "Транспорт"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F59C" w14:textId="101A674F" w:rsidR="00832576" w:rsidRPr="009C7262" w:rsidRDefault="00E6780C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03200" w14:textId="77777777" w:rsidR="00832576" w:rsidRPr="009C7262" w:rsidRDefault="00832576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708A5" w14:textId="62702453" w:rsidR="00832576" w:rsidRPr="003B1BFC" w:rsidRDefault="00832576" w:rsidP="00F719E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D2AF" w14:textId="5570D8B9" w:rsidR="00832576" w:rsidRPr="009C7262" w:rsidRDefault="00832576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C1C8" w14:textId="1EB3A62E" w:rsidR="00832576" w:rsidRPr="009C7262" w:rsidRDefault="00E6780C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32576" w:rsidRPr="009C7262" w14:paraId="29279813" w14:textId="77777777" w:rsidTr="00E6780C">
        <w:trPr>
          <w:trHeight w:val="340"/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F480" w14:textId="77777777" w:rsidR="00832576" w:rsidRPr="009C7262" w:rsidRDefault="00832576" w:rsidP="00404697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72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сегмент "Обеспечение обороны и безопасности"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92CA" w14:textId="77777777" w:rsidR="00832576" w:rsidRPr="009C7262" w:rsidRDefault="00832576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22361" w14:textId="77777777" w:rsidR="00832576" w:rsidRPr="009C7262" w:rsidRDefault="00832576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AD8CC" w14:textId="1E42686A" w:rsidR="00832576" w:rsidRPr="003B1BFC" w:rsidRDefault="00E6780C" w:rsidP="00F719E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0B78" w14:textId="0B53A12C" w:rsidR="00832576" w:rsidRPr="009C7262" w:rsidRDefault="00832576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C4674" w14:textId="6FCDD793" w:rsidR="00832576" w:rsidRPr="009C7262" w:rsidRDefault="00E6780C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832576" w:rsidRPr="009C7262" w14:paraId="2AB585BE" w14:textId="77777777" w:rsidTr="00E6780C">
        <w:trPr>
          <w:trHeight w:val="340"/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DE3A" w14:textId="77777777" w:rsidR="00832576" w:rsidRPr="009C7262" w:rsidRDefault="00832576" w:rsidP="00404697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72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сегмент "Охраняемые природные территории и благоустройства"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424B" w14:textId="1336F169" w:rsidR="00832576" w:rsidRPr="009C7262" w:rsidRDefault="00E6780C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70E63" w14:textId="77777777" w:rsidR="00832576" w:rsidRPr="009C7262" w:rsidRDefault="00832576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B3BB0" w14:textId="11DA700D" w:rsidR="00832576" w:rsidRPr="003B1BFC" w:rsidRDefault="00832576" w:rsidP="00F719E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CF52" w14:textId="2642EDC3" w:rsidR="00832576" w:rsidRPr="009C7262" w:rsidRDefault="00832576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AD260" w14:textId="46D40A07" w:rsidR="00832576" w:rsidRPr="009C7262" w:rsidRDefault="00E6780C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32576" w:rsidRPr="009C7262" w14:paraId="3C5EDA8C" w14:textId="77777777" w:rsidTr="00E6780C">
        <w:trPr>
          <w:trHeight w:val="340"/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8DD6" w14:textId="77777777" w:rsidR="00832576" w:rsidRPr="009C7262" w:rsidRDefault="00832576" w:rsidP="00404697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72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сегмент "Использование лесов"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0CFA" w14:textId="77777777" w:rsidR="00832576" w:rsidRPr="009C7262" w:rsidRDefault="00832576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CC289" w14:textId="77777777" w:rsidR="00832576" w:rsidRPr="009C7262" w:rsidRDefault="00832576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0D77A" w14:textId="040962A4" w:rsidR="00832576" w:rsidRPr="003B1BFC" w:rsidRDefault="00832576" w:rsidP="00F719E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FB4F" w14:textId="7ECDA21B" w:rsidR="00832576" w:rsidRPr="009C7262" w:rsidRDefault="00832576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BF34" w14:textId="4F919079" w:rsidR="00832576" w:rsidRPr="009C7262" w:rsidRDefault="00E6780C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32576" w:rsidRPr="009C7262" w14:paraId="068620F1" w14:textId="77777777" w:rsidTr="00E6780C">
        <w:trPr>
          <w:trHeight w:val="340"/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1097" w14:textId="77777777" w:rsidR="00832576" w:rsidRPr="009C7262" w:rsidRDefault="00832576" w:rsidP="00404697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72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сегмент "Водные объекты"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41A2" w14:textId="77777777" w:rsidR="00832576" w:rsidRPr="009C7262" w:rsidRDefault="00832576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28FFD" w14:textId="77777777" w:rsidR="00832576" w:rsidRPr="009C7262" w:rsidRDefault="00832576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CFD50" w14:textId="7719DEBA" w:rsidR="00832576" w:rsidRPr="003B1BFC" w:rsidRDefault="00832576" w:rsidP="00F719E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8FDC" w14:textId="33E72BED" w:rsidR="00832576" w:rsidRPr="009C7262" w:rsidRDefault="00832576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2341E" w14:textId="1E605B4F" w:rsidR="00832576" w:rsidRPr="009C7262" w:rsidRDefault="00E6780C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32576" w:rsidRPr="009C7262" w14:paraId="7DCA684A" w14:textId="77777777" w:rsidTr="00E6780C">
        <w:trPr>
          <w:trHeight w:val="340"/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804F" w14:textId="77777777" w:rsidR="00832576" w:rsidRPr="009C7262" w:rsidRDefault="00832576" w:rsidP="00404697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72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сегмент "Специальное, ритуальное использование, запас"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50D5" w14:textId="23CC3CDF" w:rsidR="00832576" w:rsidRPr="009C7262" w:rsidRDefault="00E6780C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ED810" w14:textId="44318547" w:rsidR="00832576" w:rsidRPr="009C7262" w:rsidRDefault="00E6780C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466C3" w14:textId="7B9A5F3C" w:rsidR="00832576" w:rsidRPr="003B1BFC" w:rsidRDefault="00E6780C" w:rsidP="00F719E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21B" w14:textId="2987D01E" w:rsidR="00832576" w:rsidRPr="009C7262" w:rsidRDefault="00832576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9E171" w14:textId="7B894B69" w:rsidR="00832576" w:rsidRPr="009C7262" w:rsidRDefault="00E6780C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832576" w:rsidRPr="009C7262" w14:paraId="7AAFD707" w14:textId="77777777" w:rsidTr="00E6780C">
        <w:trPr>
          <w:trHeight w:val="340"/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E095" w14:textId="77777777" w:rsidR="00832576" w:rsidRPr="009C7262" w:rsidRDefault="00832576" w:rsidP="00404697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72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сегмент "Садоводство и огородничество, малоэтажная жилая застройка"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9E27" w14:textId="5ECE7FD0" w:rsidR="00832576" w:rsidRPr="009C7262" w:rsidRDefault="00E6780C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832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B18D4" w14:textId="46C65212" w:rsidR="00832576" w:rsidRPr="009C7262" w:rsidRDefault="00E6780C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7937B" w14:textId="36828BC5" w:rsidR="00832576" w:rsidRPr="003B1BFC" w:rsidRDefault="00832576" w:rsidP="00F719E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74FB" w14:textId="26D73D4E" w:rsidR="00832576" w:rsidRPr="009C7262" w:rsidRDefault="00832576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B6149" w14:textId="62595982" w:rsidR="00832576" w:rsidRPr="009C7262" w:rsidRDefault="00E6780C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2 333</w:t>
            </w:r>
          </w:p>
        </w:tc>
      </w:tr>
      <w:tr w:rsidR="00832576" w:rsidRPr="009C7262" w14:paraId="68F6C9D6" w14:textId="77777777" w:rsidTr="00E6780C">
        <w:trPr>
          <w:trHeight w:val="340"/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1982" w14:textId="77777777" w:rsidR="00832576" w:rsidRPr="009C7262" w:rsidRDefault="00832576" w:rsidP="00404697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72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сегмент "Иное использование"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74B5" w14:textId="77777777" w:rsidR="00832576" w:rsidRPr="009C7262" w:rsidRDefault="00832576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E0D7C" w14:textId="77777777" w:rsidR="00832576" w:rsidRPr="009C7262" w:rsidRDefault="00832576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27C75" w14:textId="4938C455" w:rsidR="00832576" w:rsidRPr="003B1BFC" w:rsidRDefault="00832576" w:rsidP="00F719E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1DB3" w14:textId="7CC1ADB9" w:rsidR="00832576" w:rsidRPr="009C7262" w:rsidRDefault="00832576" w:rsidP="0040469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BF75" w14:textId="18CBA858" w:rsidR="00832576" w:rsidRPr="009C7262" w:rsidRDefault="00E6780C" w:rsidP="00D80C0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32576" w:rsidRPr="009C7262" w14:paraId="211CFCA4" w14:textId="77777777" w:rsidTr="00E6780C">
        <w:trPr>
          <w:trHeight w:val="340"/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0AE1" w14:textId="77777777" w:rsidR="00832576" w:rsidRPr="009C7262" w:rsidRDefault="00832576" w:rsidP="00D80C03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72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04868" w14:textId="67E2BE1C" w:rsidR="00832576" w:rsidRPr="009C7262" w:rsidRDefault="00E6780C" w:rsidP="00D80C0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832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A27C" w14:textId="2E074E14" w:rsidR="00832576" w:rsidRPr="009C7262" w:rsidRDefault="00E6780C" w:rsidP="00D80C0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69418" w14:textId="16B41E1D" w:rsidR="00832576" w:rsidRPr="003B1BFC" w:rsidRDefault="00E6780C" w:rsidP="00F719E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832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4DAE" w14:textId="42772261" w:rsidR="00832576" w:rsidRPr="009C7262" w:rsidRDefault="00E6780C" w:rsidP="00D80C0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0D02" w14:textId="6AAC5AF2" w:rsidR="00832576" w:rsidRPr="009C7262" w:rsidRDefault="00E6780C" w:rsidP="00D80C0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3 165</w:t>
            </w:r>
          </w:p>
        </w:tc>
      </w:tr>
    </w:tbl>
    <w:p w14:paraId="77491592" w14:textId="7DB70E26" w:rsidR="00D8040C" w:rsidRPr="007236BF" w:rsidRDefault="00D8040C" w:rsidP="00404697">
      <w:pPr>
        <w:spacing w:before="24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6BF">
        <w:rPr>
          <w:rFonts w:ascii="Times New Roman" w:hAnsi="Times New Roman"/>
          <w:sz w:val="28"/>
          <w:szCs w:val="28"/>
        </w:rPr>
        <w:t xml:space="preserve">В итоге проведенной </w:t>
      </w:r>
      <w:r w:rsidR="0024796F">
        <w:rPr>
          <w:rFonts w:ascii="Times New Roman" w:hAnsi="Times New Roman"/>
          <w:sz w:val="28"/>
          <w:szCs w:val="28"/>
        </w:rPr>
        <w:t>государственной кадастровой оценки</w:t>
      </w:r>
      <w:r w:rsidRPr="007236BF">
        <w:rPr>
          <w:rFonts w:ascii="Times New Roman" w:hAnsi="Times New Roman"/>
          <w:sz w:val="28"/>
          <w:szCs w:val="28"/>
        </w:rPr>
        <w:t xml:space="preserve"> на территории </w:t>
      </w:r>
      <w:r w:rsidR="00E6780C">
        <w:rPr>
          <w:rFonts w:ascii="Times New Roman" w:hAnsi="Times New Roman"/>
          <w:sz w:val="28"/>
          <w:szCs w:val="28"/>
        </w:rPr>
        <w:t>Овюрс</w:t>
      </w:r>
      <w:r w:rsidRPr="007236BF">
        <w:rPr>
          <w:rFonts w:ascii="Times New Roman" w:hAnsi="Times New Roman"/>
          <w:sz w:val="28"/>
          <w:szCs w:val="28"/>
        </w:rPr>
        <w:t>кого района наблюдается суммарное у</w:t>
      </w:r>
      <w:r w:rsidR="00E6780C">
        <w:rPr>
          <w:rFonts w:ascii="Times New Roman" w:hAnsi="Times New Roman"/>
          <w:sz w:val="28"/>
          <w:szCs w:val="28"/>
        </w:rPr>
        <w:t>величен</w:t>
      </w:r>
      <w:r w:rsidR="000322E7">
        <w:rPr>
          <w:rFonts w:ascii="Times New Roman" w:hAnsi="Times New Roman"/>
          <w:sz w:val="28"/>
          <w:szCs w:val="28"/>
        </w:rPr>
        <w:t>ие</w:t>
      </w:r>
      <w:r w:rsidRPr="007236BF">
        <w:rPr>
          <w:rFonts w:ascii="Times New Roman" w:hAnsi="Times New Roman"/>
          <w:sz w:val="28"/>
          <w:szCs w:val="28"/>
        </w:rPr>
        <w:t xml:space="preserve"> общей </w:t>
      </w:r>
      <w:r w:rsidR="0024796F">
        <w:rPr>
          <w:rFonts w:ascii="Times New Roman" w:hAnsi="Times New Roman"/>
          <w:sz w:val="28"/>
          <w:szCs w:val="28"/>
        </w:rPr>
        <w:t>кадастровой стоимости</w:t>
      </w:r>
      <w:r w:rsidRPr="007236BF">
        <w:rPr>
          <w:rFonts w:ascii="Times New Roman" w:hAnsi="Times New Roman"/>
          <w:sz w:val="28"/>
          <w:szCs w:val="28"/>
        </w:rPr>
        <w:t xml:space="preserve"> оцененных земель в </w:t>
      </w:r>
      <w:r w:rsidR="00E6780C">
        <w:rPr>
          <w:rFonts w:ascii="Times New Roman" w:hAnsi="Times New Roman"/>
          <w:sz w:val="28"/>
          <w:szCs w:val="28"/>
        </w:rPr>
        <w:t>1,</w:t>
      </w:r>
      <w:r w:rsidR="00D649E3">
        <w:rPr>
          <w:rFonts w:ascii="Times New Roman" w:hAnsi="Times New Roman"/>
          <w:sz w:val="28"/>
          <w:szCs w:val="28"/>
        </w:rPr>
        <w:t>0</w:t>
      </w:r>
      <w:r w:rsidR="00E6780C">
        <w:rPr>
          <w:rFonts w:ascii="Times New Roman" w:hAnsi="Times New Roman"/>
          <w:sz w:val="28"/>
          <w:szCs w:val="28"/>
        </w:rPr>
        <w:t>9</w:t>
      </w:r>
      <w:r w:rsidRPr="007236BF">
        <w:rPr>
          <w:rFonts w:ascii="Times New Roman" w:hAnsi="Times New Roman"/>
          <w:sz w:val="28"/>
          <w:szCs w:val="28"/>
        </w:rPr>
        <w:t xml:space="preserve"> раз (с </w:t>
      </w:r>
      <w:r w:rsidR="00D649E3">
        <w:rPr>
          <w:rFonts w:ascii="Times New Roman" w:hAnsi="Times New Roman"/>
          <w:sz w:val="28"/>
          <w:szCs w:val="28"/>
        </w:rPr>
        <w:t>719,</w:t>
      </w:r>
      <w:r w:rsidR="00B45FEE">
        <w:rPr>
          <w:rFonts w:ascii="Times New Roman" w:hAnsi="Times New Roman"/>
          <w:sz w:val="28"/>
          <w:szCs w:val="28"/>
        </w:rPr>
        <w:t>72</w:t>
      </w:r>
      <w:r w:rsidR="000322E7">
        <w:rPr>
          <w:rFonts w:ascii="Times New Roman" w:hAnsi="Times New Roman"/>
          <w:sz w:val="28"/>
          <w:szCs w:val="28"/>
        </w:rPr>
        <w:t xml:space="preserve"> </w:t>
      </w:r>
      <w:r w:rsidR="00D5288C">
        <w:rPr>
          <w:rFonts w:ascii="Times New Roman" w:hAnsi="Times New Roman"/>
          <w:sz w:val="28"/>
          <w:szCs w:val="28"/>
        </w:rPr>
        <w:t>млн. рублей</w:t>
      </w:r>
      <w:r w:rsidRPr="007236BF">
        <w:rPr>
          <w:rFonts w:ascii="Times New Roman" w:hAnsi="Times New Roman"/>
          <w:sz w:val="28"/>
          <w:szCs w:val="28"/>
        </w:rPr>
        <w:t xml:space="preserve"> до </w:t>
      </w:r>
      <w:r w:rsidR="00E6780C">
        <w:rPr>
          <w:rFonts w:ascii="Times New Roman" w:hAnsi="Times New Roman"/>
          <w:sz w:val="28"/>
          <w:szCs w:val="28"/>
        </w:rPr>
        <w:t>787,64</w:t>
      </w:r>
      <w:r w:rsidR="000322E7">
        <w:rPr>
          <w:rFonts w:ascii="Times New Roman" w:hAnsi="Times New Roman"/>
          <w:sz w:val="28"/>
          <w:szCs w:val="28"/>
        </w:rPr>
        <w:t xml:space="preserve"> </w:t>
      </w:r>
      <w:r w:rsidR="00D5288C">
        <w:rPr>
          <w:rFonts w:ascii="Times New Roman" w:hAnsi="Times New Roman"/>
          <w:sz w:val="28"/>
          <w:szCs w:val="28"/>
        </w:rPr>
        <w:t>млн. рублей</w:t>
      </w:r>
      <w:r w:rsidRPr="007236BF">
        <w:rPr>
          <w:rFonts w:ascii="Times New Roman" w:hAnsi="Times New Roman"/>
          <w:sz w:val="28"/>
          <w:szCs w:val="28"/>
        </w:rPr>
        <w:t>), из них:</w:t>
      </w:r>
    </w:p>
    <w:p w14:paraId="49CD7222" w14:textId="241FA52B" w:rsidR="00D8040C" w:rsidRPr="007236BF" w:rsidRDefault="00D8040C" w:rsidP="004A3E1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6BF">
        <w:rPr>
          <w:rFonts w:ascii="Times New Roman" w:hAnsi="Times New Roman"/>
          <w:sz w:val="28"/>
          <w:szCs w:val="28"/>
        </w:rPr>
        <w:t>- по землям населенн</w:t>
      </w:r>
      <w:r w:rsidR="0024796F">
        <w:rPr>
          <w:rFonts w:ascii="Times New Roman" w:hAnsi="Times New Roman"/>
          <w:sz w:val="28"/>
          <w:szCs w:val="28"/>
        </w:rPr>
        <w:t>ых</w:t>
      </w:r>
      <w:r w:rsidRPr="007236BF">
        <w:rPr>
          <w:rFonts w:ascii="Times New Roman" w:hAnsi="Times New Roman"/>
          <w:sz w:val="28"/>
          <w:szCs w:val="28"/>
        </w:rPr>
        <w:t xml:space="preserve"> пункт</w:t>
      </w:r>
      <w:r w:rsidR="0024796F">
        <w:rPr>
          <w:rFonts w:ascii="Times New Roman" w:hAnsi="Times New Roman"/>
          <w:sz w:val="28"/>
          <w:szCs w:val="28"/>
        </w:rPr>
        <w:t>ов</w:t>
      </w:r>
      <w:r w:rsidRPr="007236BF">
        <w:rPr>
          <w:rFonts w:ascii="Times New Roman" w:hAnsi="Times New Roman"/>
          <w:sz w:val="28"/>
          <w:szCs w:val="28"/>
        </w:rPr>
        <w:t xml:space="preserve"> увеличение в 1</w:t>
      </w:r>
      <w:r w:rsidR="00E6780C">
        <w:rPr>
          <w:rFonts w:ascii="Times New Roman" w:hAnsi="Times New Roman"/>
          <w:sz w:val="28"/>
          <w:szCs w:val="28"/>
        </w:rPr>
        <w:t>,33</w:t>
      </w:r>
      <w:r w:rsidRPr="007236BF">
        <w:rPr>
          <w:rFonts w:ascii="Times New Roman" w:hAnsi="Times New Roman"/>
          <w:sz w:val="28"/>
          <w:szCs w:val="28"/>
        </w:rPr>
        <w:t xml:space="preserve"> раз (с</w:t>
      </w:r>
      <w:r w:rsidR="001266E8" w:rsidRPr="007236BF">
        <w:rPr>
          <w:rFonts w:ascii="Times New Roman" w:hAnsi="Times New Roman"/>
          <w:sz w:val="28"/>
          <w:szCs w:val="28"/>
        </w:rPr>
        <w:t xml:space="preserve"> </w:t>
      </w:r>
      <w:r w:rsidR="009D43A6">
        <w:rPr>
          <w:rFonts w:ascii="Times New Roman" w:hAnsi="Times New Roman"/>
          <w:sz w:val="28"/>
          <w:szCs w:val="28"/>
        </w:rPr>
        <w:t>2</w:t>
      </w:r>
      <w:r w:rsidR="00E6780C">
        <w:rPr>
          <w:rFonts w:ascii="Times New Roman" w:hAnsi="Times New Roman"/>
          <w:sz w:val="28"/>
          <w:szCs w:val="28"/>
        </w:rPr>
        <w:t>29,48</w:t>
      </w:r>
      <w:r w:rsidR="00BC6F2D" w:rsidRPr="007236BF">
        <w:rPr>
          <w:rFonts w:ascii="Times New Roman" w:hAnsi="Times New Roman"/>
          <w:sz w:val="28"/>
          <w:szCs w:val="28"/>
        </w:rPr>
        <w:t xml:space="preserve"> </w:t>
      </w:r>
      <w:r w:rsidR="00D5288C">
        <w:rPr>
          <w:rFonts w:ascii="Times New Roman" w:hAnsi="Times New Roman"/>
          <w:sz w:val="28"/>
          <w:szCs w:val="28"/>
        </w:rPr>
        <w:t>млн. рублей</w:t>
      </w:r>
      <w:r w:rsidR="001266E8" w:rsidRPr="007236BF">
        <w:rPr>
          <w:rFonts w:ascii="Times New Roman" w:hAnsi="Times New Roman"/>
          <w:sz w:val="28"/>
          <w:szCs w:val="28"/>
        </w:rPr>
        <w:t xml:space="preserve"> </w:t>
      </w:r>
      <w:r w:rsidRPr="007236BF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E6780C">
        <w:rPr>
          <w:rFonts w:ascii="Times New Roman" w:hAnsi="Times New Roman"/>
          <w:color w:val="000000"/>
          <w:sz w:val="28"/>
          <w:szCs w:val="28"/>
        </w:rPr>
        <w:t>305,15</w:t>
      </w:r>
      <w:r w:rsidRPr="007236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288C">
        <w:rPr>
          <w:rFonts w:ascii="Times New Roman" w:hAnsi="Times New Roman"/>
          <w:color w:val="000000"/>
          <w:sz w:val="28"/>
          <w:szCs w:val="28"/>
        </w:rPr>
        <w:t>млн.</w:t>
      </w:r>
      <w:r w:rsidR="00D5288C">
        <w:rPr>
          <w:rFonts w:ascii="Times New Roman" w:hAnsi="Times New Roman"/>
          <w:sz w:val="28"/>
          <w:szCs w:val="28"/>
        </w:rPr>
        <w:t> </w:t>
      </w:r>
      <w:r w:rsidR="00D5288C">
        <w:rPr>
          <w:rFonts w:ascii="Times New Roman" w:hAnsi="Times New Roman"/>
          <w:color w:val="000000"/>
          <w:sz w:val="28"/>
          <w:szCs w:val="28"/>
        </w:rPr>
        <w:t>рублей</w:t>
      </w:r>
      <w:r w:rsidRPr="007236BF">
        <w:rPr>
          <w:rFonts w:ascii="Times New Roman" w:hAnsi="Times New Roman"/>
          <w:color w:val="000000"/>
          <w:sz w:val="28"/>
          <w:szCs w:val="28"/>
        </w:rPr>
        <w:t>)</w:t>
      </w:r>
      <w:r w:rsidRPr="007236BF">
        <w:rPr>
          <w:rFonts w:ascii="Times New Roman" w:hAnsi="Times New Roman"/>
          <w:sz w:val="28"/>
          <w:szCs w:val="28"/>
        </w:rPr>
        <w:t>;</w:t>
      </w:r>
    </w:p>
    <w:p w14:paraId="69A05200" w14:textId="05CD9635" w:rsidR="00D8040C" w:rsidRDefault="00D8040C" w:rsidP="004A3E1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 з</w:t>
      </w:r>
      <w:r w:rsidRPr="007236BF">
        <w:rPr>
          <w:rFonts w:ascii="Times New Roman" w:hAnsi="Times New Roman"/>
          <w:sz w:val="28"/>
          <w:szCs w:val="28"/>
        </w:rPr>
        <w:t>емлям сельскохозяйственного назначения у</w:t>
      </w:r>
      <w:r w:rsidR="00B45FEE">
        <w:rPr>
          <w:rFonts w:ascii="Times New Roman" w:hAnsi="Times New Roman"/>
          <w:sz w:val="28"/>
          <w:szCs w:val="28"/>
        </w:rPr>
        <w:t>меньшен</w:t>
      </w:r>
      <w:r w:rsidRPr="007236BF">
        <w:rPr>
          <w:rFonts w:ascii="Times New Roman" w:hAnsi="Times New Roman"/>
          <w:sz w:val="28"/>
          <w:szCs w:val="28"/>
        </w:rPr>
        <w:t xml:space="preserve">ие в </w:t>
      </w:r>
      <w:r w:rsidR="00E6780C">
        <w:rPr>
          <w:rFonts w:ascii="Times New Roman" w:hAnsi="Times New Roman"/>
          <w:sz w:val="28"/>
          <w:szCs w:val="28"/>
        </w:rPr>
        <w:t>1</w:t>
      </w:r>
      <w:r w:rsidR="002F0A19">
        <w:rPr>
          <w:rFonts w:ascii="Times New Roman" w:hAnsi="Times New Roman"/>
          <w:sz w:val="28"/>
          <w:szCs w:val="28"/>
        </w:rPr>
        <w:t>,</w:t>
      </w:r>
      <w:r w:rsidR="009D43A6">
        <w:rPr>
          <w:rFonts w:ascii="Times New Roman" w:hAnsi="Times New Roman"/>
          <w:sz w:val="28"/>
          <w:szCs w:val="28"/>
        </w:rPr>
        <w:t>1</w:t>
      </w:r>
      <w:r w:rsidR="00D649E3">
        <w:rPr>
          <w:rFonts w:ascii="Times New Roman" w:hAnsi="Times New Roman"/>
          <w:sz w:val="28"/>
          <w:szCs w:val="28"/>
        </w:rPr>
        <w:t>3</w:t>
      </w:r>
      <w:r w:rsidR="001266E8" w:rsidRPr="007236BF">
        <w:rPr>
          <w:rFonts w:ascii="Times New Roman" w:hAnsi="Times New Roman"/>
          <w:sz w:val="28"/>
          <w:szCs w:val="28"/>
        </w:rPr>
        <w:t xml:space="preserve"> раз</w:t>
      </w:r>
      <w:r w:rsidRPr="007236BF">
        <w:rPr>
          <w:rFonts w:ascii="Times New Roman" w:hAnsi="Times New Roman"/>
          <w:sz w:val="28"/>
          <w:szCs w:val="28"/>
        </w:rPr>
        <w:t xml:space="preserve"> (с </w:t>
      </w:r>
      <w:r w:rsidR="00D649E3">
        <w:rPr>
          <w:rFonts w:ascii="Times New Roman" w:hAnsi="Times New Roman"/>
          <w:sz w:val="28"/>
          <w:szCs w:val="28"/>
        </w:rPr>
        <w:t>317,48</w:t>
      </w:r>
      <w:r w:rsidRPr="007236BF">
        <w:rPr>
          <w:rFonts w:ascii="Times New Roman" w:hAnsi="Times New Roman"/>
          <w:sz w:val="28"/>
          <w:szCs w:val="28"/>
        </w:rPr>
        <w:t xml:space="preserve"> </w:t>
      </w:r>
      <w:r w:rsidR="00D5288C">
        <w:rPr>
          <w:rFonts w:ascii="Times New Roman" w:hAnsi="Times New Roman"/>
          <w:sz w:val="28"/>
          <w:szCs w:val="28"/>
        </w:rPr>
        <w:t>млн. рублей</w:t>
      </w:r>
      <w:r w:rsidR="00BC6F2D" w:rsidRPr="007236BF">
        <w:rPr>
          <w:rFonts w:ascii="Times New Roman" w:hAnsi="Times New Roman"/>
          <w:sz w:val="28"/>
          <w:szCs w:val="28"/>
        </w:rPr>
        <w:t xml:space="preserve"> </w:t>
      </w:r>
      <w:r w:rsidRPr="007236BF">
        <w:rPr>
          <w:rFonts w:ascii="Times New Roman" w:hAnsi="Times New Roman"/>
          <w:sz w:val="28"/>
          <w:szCs w:val="28"/>
        </w:rPr>
        <w:t xml:space="preserve">до </w:t>
      </w:r>
      <w:r w:rsidR="00E6780C">
        <w:rPr>
          <w:rFonts w:ascii="Times New Roman" w:hAnsi="Times New Roman"/>
          <w:sz w:val="28"/>
          <w:szCs w:val="28"/>
        </w:rPr>
        <w:t>280,66</w:t>
      </w:r>
      <w:r w:rsidRPr="007236BF">
        <w:rPr>
          <w:rFonts w:ascii="Times New Roman" w:hAnsi="Times New Roman"/>
          <w:sz w:val="28"/>
          <w:szCs w:val="28"/>
        </w:rPr>
        <w:t xml:space="preserve"> </w:t>
      </w:r>
      <w:r w:rsidR="00D5288C">
        <w:rPr>
          <w:rFonts w:ascii="Times New Roman" w:hAnsi="Times New Roman"/>
          <w:sz w:val="28"/>
          <w:szCs w:val="28"/>
        </w:rPr>
        <w:t>млн. рублей</w:t>
      </w:r>
      <w:r w:rsidRPr="007236BF">
        <w:rPr>
          <w:rFonts w:ascii="Times New Roman" w:hAnsi="Times New Roman"/>
          <w:sz w:val="28"/>
          <w:szCs w:val="28"/>
        </w:rPr>
        <w:t>);</w:t>
      </w:r>
    </w:p>
    <w:p w14:paraId="0D078AAB" w14:textId="35D358DF" w:rsidR="00304A99" w:rsidRPr="007236BF" w:rsidRDefault="00304A99" w:rsidP="00304A9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6BF">
        <w:rPr>
          <w:rFonts w:ascii="Times New Roman" w:hAnsi="Times New Roman"/>
          <w:sz w:val="28"/>
          <w:szCs w:val="28"/>
        </w:rPr>
        <w:t xml:space="preserve">- по землям </w:t>
      </w:r>
      <w:r w:rsidRPr="00304A99">
        <w:rPr>
          <w:rFonts w:ascii="Times New Roman" w:hAnsi="Times New Roman"/>
          <w:sz w:val="28"/>
          <w:szCs w:val="28"/>
        </w:rPr>
        <w:t xml:space="preserve">особо охраняемых территорий и объектов </w:t>
      </w:r>
      <w:r w:rsidRPr="007236BF">
        <w:rPr>
          <w:rFonts w:ascii="Times New Roman" w:hAnsi="Times New Roman"/>
          <w:sz w:val="28"/>
          <w:szCs w:val="28"/>
        </w:rPr>
        <w:t>у</w:t>
      </w:r>
      <w:r w:rsidR="00E6780C">
        <w:rPr>
          <w:rFonts w:ascii="Times New Roman" w:hAnsi="Times New Roman"/>
          <w:sz w:val="28"/>
          <w:szCs w:val="28"/>
        </w:rPr>
        <w:t>величен</w:t>
      </w:r>
      <w:r w:rsidRPr="007236BF">
        <w:rPr>
          <w:rFonts w:ascii="Times New Roman" w:hAnsi="Times New Roman"/>
          <w:sz w:val="28"/>
          <w:szCs w:val="28"/>
        </w:rPr>
        <w:t xml:space="preserve">ие в </w:t>
      </w:r>
      <w:r w:rsidR="00E6780C">
        <w:rPr>
          <w:rFonts w:ascii="Times New Roman" w:hAnsi="Times New Roman"/>
          <w:sz w:val="28"/>
          <w:szCs w:val="28"/>
        </w:rPr>
        <w:t>1,18</w:t>
      </w:r>
      <w:r w:rsidRPr="007236BF">
        <w:rPr>
          <w:rFonts w:ascii="Times New Roman" w:hAnsi="Times New Roman"/>
          <w:sz w:val="28"/>
          <w:szCs w:val="28"/>
        </w:rPr>
        <w:t xml:space="preserve"> раз (с </w:t>
      </w:r>
      <w:r w:rsidR="00E6780C">
        <w:rPr>
          <w:rFonts w:ascii="Times New Roman" w:hAnsi="Times New Roman"/>
          <w:sz w:val="28"/>
          <w:szCs w:val="28"/>
        </w:rPr>
        <w:t>70,04</w:t>
      </w:r>
      <w:r w:rsidRPr="007236BF">
        <w:rPr>
          <w:rFonts w:ascii="Times New Roman" w:hAnsi="Times New Roman"/>
          <w:sz w:val="28"/>
          <w:szCs w:val="28"/>
        </w:rPr>
        <w:t xml:space="preserve"> </w:t>
      </w:r>
      <w:r w:rsidR="00D5288C">
        <w:rPr>
          <w:rFonts w:ascii="Times New Roman" w:hAnsi="Times New Roman"/>
          <w:sz w:val="28"/>
          <w:szCs w:val="28"/>
        </w:rPr>
        <w:t>млн. рублей</w:t>
      </w:r>
      <w:r w:rsidRPr="007236BF">
        <w:rPr>
          <w:rFonts w:ascii="Times New Roman" w:hAnsi="Times New Roman"/>
          <w:sz w:val="28"/>
          <w:szCs w:val="28"/>
        </w:rPr>
        <w:t xml:space="preserve"> </w:t>
      </w:r>
      <w:r w:rsidRPr="007236BF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E6780C">
        <w:rPr>
          <w:rFonts w:ascii="Times New Roman" w:hAnsi="Times New Roman"/>
          <w:color w:val="000000"/>
          <w:sz w:val="28"/>
          <w:szCs w:val="28"/>
        </w:rPr>
        <w:t>82,78</w:t>
      </w:r>
      <w:r w:rsidR="00377B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288C">
        <w:rPr>
          <w:rFonts w:ascii="Times New Roman" w:hAnsi="Times New Roman"/>
          <w:color w:val="000000"/>
          <w:sz w:val="28"/>
          <w:szCs w:val="28"/>
        </w:rPr>
        <w:t>млн.</w:t>
      </w:r>
      <w:r w:rsidR="00D5288C">
        <w:rPr>
          <w:rFonts w:ascii="Times New Roman" w:hAnsi="Times New Roman"/>
          <w:sz w:val="28"/>
          <w:szCs w:val="28"/>
        </w:rPr>
        <w:t> </w:t>
      </w:r>
      <w:r w:rsidR="00D5288C">
        <w:rPr>
          <w:rFonts w:ascii="Times New Roman" w:hAnsi="Times New Roman"/>
          <w:color w:val="000000"/>
          <w:sz w:val="28"/>
          <w:szCs w:val="28"/>
        </w:rPr>
        <w:t>рублей</w:t>
      </w:r>
      <w:r w:rsidRPr="007236BF">
        <w:rPr>
          <w:rFonts w:ascii="Times New Roman" w:hAnsi="Times New Roman"/>
          <w:color w:val="000000"/>
          <w:sz w:val="28"/>
          <w:szCs w:val="28"/>
        </w:rPr>
        <w:t>)</w:t>
      </w:r>
      <w:r w:rsidRPr="007236BF">
        <w:rPr>
          <w:rFonts w:ascii="Times New Roman" w:hAnsi="Times New Roman"/>
          <w:sz w:val="28"/>
          <w:szCs w:val="28"/>
        </w:rPr>
        <w:t>;</w:t>
      </w:r>
    </w:p>
    <w:p w14:paraId="4BB421CD" w14:textId="0C8BF6B2" w:rsidR="000322E7" w:rsidRDefault="00304A99" w:rsidP="00E6780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6BF">
        <w:rPr>
          <w:rFonts w:ascii="Times New Roman" w:hAnsi="Times New Roman"/>
          <w:sz w:val="28"/>
          <w:szCs w:val="28"/>
        </w:rPr>
        <w:t xml:space="preserve">- по землям </w:t>
      </w:r>
      <w:r w:rsidRPr="00304A99">
        <w:rPr>
          <w:rFonts w:ascii="Times New Roman" w:hAnsi="Times New Roman"/>
          <w:sz w:val="28"/>
          <w:szCs w:val="28"/>
        </w:rPr>
        <w:t xml:space="preserve">промышленности, энергетики, транспорта, земли обороны, безопасности и земли иного специального назначения </w:t>
      </w:r>
      <w:r w:rsidRPr="007236BF">
        <w:rPr>
          <w:rFonts w:ascii="Times New Roman" w:hAnsi="Times New Roman"/>
          <w:sz w:val="28"/>
          <w:szCs w:val="28"/>
        </w:rPr>
        <w:t xml:space="preserve">увеличение в </w:t>
      </w:r>
      <w:r w:rsidR="0056171D">
        <w:rPr>
          <w:rFonts w:ascii="Times New Roman" w:hAnsi="Times New Roman"/>
          <w:sz w:val="28"/>
          <w:szCs w:val="28"/>
        </w:rPr>
        <w:t>1</w:t>
      </w:r>
      <w:r w:rsidR="00305E30">
        <w:rPr>
          <w:rFonts w:ascii="Times New Roman" w:hAnsi="Times New Roman"/>
          <w:sz w:val="28"/>
          <w:szCs w:val="28"/>
        </w:rPr>
        <w:t>,</w:t>
      </w:r>
      <w:r w:rsidR="00E6780C">
        <w:rPr>
          <w:rFonts w:ascii="Times New Roman" w:hAnsi="Times New Roman"/>
          <w:sz w:val="28"/>
          <w:szCs w:val="28"/>
        </w:rPr>
        <w:t>16</w:t>
      </w:r>
      <w:r w:rsidRPr="007236BF">
        <w:rPr>
          <w:rFonts w:ascii="Times New Roman" w:hAnsi="Times New Roman"/>
          <w:sz w:val="28"/>
          <w:szCs w:val="28"/>
        </w:rPr>
        <w:t xml:space="preserve"> раз (с </w:t>
      </w:r>
      <w:r w:rsidR="00E6780C">
        <w:rPr>
          <w:rFonts w:ascii="Times New Roman" w:hAnsi="Times New Roman"/>
          <w:sz w:val="28"/>
          <w:szCs w:val="28"/>
        </w:rPr>
        <w:t>102,</w:t>
      </w:r>
      <w:r w:rsidR="00B45FEE">
        <w:rPr>
          <w:rFonts w:ascii="Times New Roman" w:hAnsi="Times New Roman"/>
          <w:sz w:val="28"/>
          <w:szCs w:val="28"/>
        </w:rPr>
        <w:t>72</w:t>
      </w:r>
      <w:r w:rsidRPr="007236BF">
        <w:rPr>
          <w:rFonts w:ascii="Times New Roman" w:hAnsi="Times New Roman"/>
          <w:sz w:val="28"/>
          <w:szCs w:val="28"/>
        </w:rPr>
        <w:t xml:space="preserve"> </w:t>
      </w:r>
      <w:r w:rsidR="00D5288C">
        <w:rPr>
          <w:rFonts w:ascii="Times New Roman" w:hAnsi="Times New Roman"/>
          <w:sz w:val="28"/>
          <w:szCs w:val="28"/>
        </w:rPr>
        <w:t>млн. рублей</w:t>
      </w:r>
      <w:r w:rsidRPr="007236BF">
        <w:rPr>
          <w:rFonts w:ascii="Times New Roman" w:hAnsi="Times New Roman"/>
          <w:sz w:val="28"/>
          <w:szCs w:val="28"/>
        </w:rPr>
        <w:t xml:space="preserve"> </w:t>
      </w:r>
      <w:r w:rsidRPr="007236BF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E6780C">
        <w:rPr>
          <w:rFonts w:ascii="Times New Roman" w:hAnsi="Times New Roman"/>
          <w:color w:val="000000"/>
          <w:sz w:val="28"/>
          <w:szCs w:val="28"/>
        </w:rPr>
        <w:t>119,05</w:t>
      </w:r>
      <w:r w:rsidR="002F0A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288C">
        <w:rPr>
          <w:rFonts w:ascii="Times New Roman" w:hAnsi="Times New Roman"/>
          <w:color w:val="000000"/>
          <w:sz w:val="28"/>
          <w:szCs w:val="28"/>
        </w:rPr>
        <w:t>млн.</w:t>
      </w:r>
      <w:r w:rsidR="00D5288C">
        <w:rPr>
          <w:rFonts w:ascii="Times New Roman" w:hAnsi="Times New Roman"/>
          <w:sz w:val="28"/>
          <w:szCs w:val="28"/>
        </w:rPr>
        <w:t> </w:t>
      </w:r>
      <w:r w:rsidR="00D5288C">
        <w:rPr>
          <w:rFonts w:ascii="Times New Roman" w:hAnsi="Times New Roman"/>
          <w:color w:val="000000"/>
          <w:sz w:val="28"/>
          <w:szCs w:val="28"/>
        </w:rPr>
        <w:t>рублей</w:t>
      </w:r>
      <w:r w:rsidRPr="007236BF">
        <w:rPr>
          <w:rFonts w:ascii="Times New Roman" w:hAnsi="Times New Roman"/>
          <w:color w:val="000000"/>
          <w:sz w:val="28"/>
          <w:szCs w:val="28"/>
        </w:rPr>
        <w:t>)</w:t>
      </w:r>
      <w:r w:rsidR="00E6780C">
        <w:rPr>
          <w:rFonts w:ascii="Times New Roman" w:hAnsi="Times New Roman"/>
          <w:sz w:val="28"/>
          <w:szCs w:val="28"/>
        </w:rPr>
        <w:t>.</w:t>
      </w:r>
    </w:p>
    <w:p w14:paraId="5C1C50CC" w14:textId="7A8D68F7" w:rsidR="001266E8" w:rsidRPr="007236BF" w:rsidRDefault="001266E8" w:rsidP="004A3E1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6BF">
        <w:rPr>
          <w:rFonts w:ascii="Times New Roman" w:hAnsi="Times New Roman"/>
          <w:sz w:val="28"/>
          <w:szCs w:val="28"/>
        </w:rPr>
        <w:t>Наибо</w:t>
      </w:r>
      <w:r w:rsidR="000D0AB8" w:rsidRPr="007236BF">
        <w:rPr>
          <w:rFonts w:ascii="Times New Roman" w:hAnsi="Times New Roman"/>
          <w:sz w:val="28"/>
          <w:szCs w:val="28"/>
        </w:rPr>
        <w:t>л</w:t>
      </w:r>
      <w:r w:rsidRPr="007236BF">
        <w:rPr>
          <w:rFonts w:ascii="Times New Roman" w:hAnsi="Times New Roman"/>
          <w:sz w:val="28"/>
          <w:szCs w:val="28"/>
        </w:rPr>
        <w:t xml:space="preserve">ее </w:t>
      </w:r>
      <w:r w:rsidR="000D0AB8" w:rsidRPr="0024796F">
        <w:rPr>
          <w:rFonts w:ascii="Times New Roman" w:hAnsi="Times New Roman"/>
          <w:b/>
          <w:bCs/>
          <w:sz w:val="28"/>
          <w:szCs w:val="28"/>
        </w:rPr>
        <w:t>увеличилась</w:t>
      </w:r>
      <w:r w:rsidR="000D0AB8" w:rsidRPr="007236BF">
        <w:rPr>
          <w:rFonts w:ascii="Times New Roman" w:hAnsi="Times New Roman"/>
          <w:sz w:val="28"/>
          <w:szCs w:val="28"/>
        </w:rPr>
        <w:t xml:space="preserve"> кадастровая стоимость земельных участков</w:t>
      </w:r>
      <w:r w:rsidRPr="007236BF">
        <w:rPr>
          <w:rFonts w:ascii="Times New Roman" w:hAnsi="Times New Roman"/>
          <w:sz w:val="28"/>
          <w:szCs w:val="28"/>
        </w:rPr>
        <w:t>:</w:t>
      </w:r>
    </w:p>
    <w:p w14:paraId="1EC58616" w14:textId="3748232C" w:rsidR="005C2C20" w:rsidRPr="007236BF" w:rsidRDefault="005C2C20" w:rsidP="005C2C20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для общественного использования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</w:t>
      </w:r>
      <w:r w:rsidR="00B4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54</w:t>
      </w: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16,</w:t>
      </w:r>
      <w:r w:rsidR="00B4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85</w:t>
      </w: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млн.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рублей</w:t>
      </w: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25,</w:t>
      </w:r>
      <w:r w:rsidR="00B4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млн.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рублей</w:t>
      </w: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14:paraId="3BE0EF7D" w14:textId="501713C6" w:rsidR="005C2C20" w:rsidRPr="007236BF" w:rsidRDefault="005C2C20" w:rsidP="005C2C20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для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предпринимательства</w:t>
      </w: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1,1</w:t>
      </w:r>
      <w:r w:rsidR="00B4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 </w:t>
      </w:r>
      <w:r w:rsidR="00B4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82,4</w:t>
      </w: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млн.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рублей</w:t>
      </w: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r w:rsidR="00B4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95,29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млн.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рублей</w:t>
      </w: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14:paraId="0E04F0CA" w14:textId="61E598B7" w:rsidR="005C2C20" w:rsidRPr="007236BF" w:rsidRDefault="005C2C20" w:rsidP="005C2C20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для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тдыха (рекреации)</w:t>
      </w: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2,26</w:t>
      </w: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0,29</w:t>
      </w: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млн.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рублей</w:t>
      </w: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0,65</w:t>
      </w: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млн.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рублей</w:t>
      </w: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14:paraId="60886727" w14:textId="6BA91EDB" w:rsidR="005C2C20" w:rsidRDefault="005C2C20" w:rsidP="005C2C20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для индивидуальной, малоэтажной жилой застройки</w:t>
      </w:r>
      <w:r w:rsidR="007B0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садоводства и огородничества</w:t>
      </w: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1,42</w:t>
      </w: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172,</w:t>
      </w:r>
      <w:r w:rsidR="00B4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млн. рублей</w:t>
      </w: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243,6</w:t>
      </w:r>
      <w:r w:rsidR="00B4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млн.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рублей</w:t>
      </w: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7442677C" w14:textId="0BD4F040" w:rsidR="00E6780C" w:rsidRDefault="005C2C20" w:rsidP="00B45FEE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для охраняемых природных территорий и благоустройств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1,18 </w:t>
      </w:r>
      <w:r w:rsidRPr="00ED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 (с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70,14 </w:t>
      </w:r>
      <w:r w:rsidRPr="00ED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млн. рублей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82,87</w:t>
      </w:r>
      <w:r w:rsidRPr="00ED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млн. рублей)</w:t>
      </w:r>
      <w:r w:rsidR="00B4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F5F085A" w14:textId="5A8C6B5D" w:rsidR="00B45FEE" w:rsidRDefault="005C2C20" w:rsidP="00B6194B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Наиболее </w:t>
      </w:r>
      <w:r w:rsidRPr="0024796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уменьшилась</w:t>
      </w: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кадастровая стоимость </w:t>
      </w: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земельных участков</w:t>
      </w:r>
      <w:r w:rsidR="00B4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2CD1FFE9" w14:textId="135492B6" w:rsidR="00B45FEE" w:rsidRPr="007236BF" w:rsidRDefault="00B45FEE" w:rsidP="00B45FEE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для сельскохозяйственного использования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1,18</w:t>
      </w: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 (с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246,46</w:t>
      </w: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млн. рублей</w:t>
      </w: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9,06</w:t>
      </w: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млн.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рублей</w:t>
      </w:r>
      <w:r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14:paraId="01091C97" w14:textId="40C7B702" w:rsidR="00B6194B" w:rsidRDefault="00B45FEE" w:rsidP="00B6194B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B6194B" w:rsidRPr="00A05C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специального, ритуального использования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1,25</w:t>
      </w:r>
      <w:r w:rsidR="00B61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6194B" w:rsidRPr="00A05C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</w:t>
      </w:r>
      <w:r w:rsidR="00B61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B6194B" w:rsidRPr="00A05C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 </w:t>
      </w:r>
      <w:r w:rsidR="005C2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24,23</w:t>
      </w:r>
      <w:r w:rsidR="00B6194B" w:rsidRPr="00A05C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млн. рублей до </w:t>
      </w:r>
      <w:r w:rsidR="005C2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19,37</w:t>
      </w:r>
      <w:r w:rsidR="00B6194B" w:rsidRPr="00A05C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млн. рублей).</w:t>
      </w:r>
    </w:p>
    <w:p w14:paraId="2181C7B3" w14:textId="236F25C3" w:rsidR="00BB743B" w:rsidRPr="0041693D" w:rsidRDefault="00BB743B" w:rsidP="00BB743B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6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Ниже рассмотрим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причины увеличения (уменьшения) </w:t>
      </w:r>
      <w:r w:rsidRPr="00416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несколько</w:t>
      </w:r>
      <w:r w:rsidRPr="0041693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значимых объектов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Овюр</w:t>
      </w:r>
      <w:r w:rsidRPr="00416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района.</w:t>
      </w:r>
    </w:p>
    <w:p w14:paraId="0AD6F04D" w14:textId="377F91F7" w:rsidR="00BB743B" w:rsidRDefault="00BB743B" w:rsidP="00BB743B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Pr="0041693D">
        <w:rPr>
          <w:rFonts w:ascii="Times New Roman" w:hAnsi="Times New Roman"/>
          <w:sz w:val="28"/>
          <w:szCs w:val="28"/>
        </w:rPr>
        <w:t xml:space="preserve">. </w:t>
      </w:r>
      <w:bookmarkStart w:id="1" w:name="_Hlk116467710"/>
      <w:r w:rsidRPr="00416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Кадастровая стоимость земельных участков </w:t>
      </w:r>
      <w:r w:rsidRPr="00837FA2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объектов </w:t>
      </w:r>
      <w:r w:rsidRPr="00837FA2">
        <w:rPr>
          <w:rFonts w:ascii="Times New Roman" w:hAnsi="Times New Roman"/>
          <w:sz w:val="28"/>
          <w:szCs w:val="28"/>
        </w:rPr>
        <w:t>с</w:t>
      </w:r>
      <w:r w:rsidRPr="00837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ельскохозяйственного использования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624A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величилась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FEE"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B4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1,18</w:t>
      </w:r>
      <w:r w:rsidR="00B45FEE"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 (с </w:t>
      </w:r>
      <w:r w:rsidR="00B4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246,46</w:t>
      </w:r>
      <w:r w:rsidR="00B45FEE"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FEE">
        <w:rPr>
          <w:rFonts w:ascii="Times New Roman" w:hAnsi="Times New Roman"/>
          <w:sz w:val="28"/>
          <w:szCs w:val="28"/>
        </w:rPr>
        <w:t>млн. рублей</w:t>
      </w:r>
      <w:r w:rsidR="00B45FEE"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r w:rsidR="00B4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209,06</w:t>
      </w:r>
      <w:r w:rsidR="00B45FEE"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млн.</w:t>
      </w:r>
      <w:r w:rsidR="00B45FEE">
        <w:rPr>
          <w:rFonts w:ascii="Times New Roman" w:hAnsi="Times New Roman"/>
          <w:sz w:val="28"/>
          <w:szCs w:val="28"/>
        </w:rPr>
        <w:t> </w:t>
      </w:r>
      <w:r w:rsidR="00B4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рублей</w:t>
      </w:r>
      <w:r w:rsidR="00B45FEE"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bookmarkEnd w:id="1"/>
      <w:r w:rsidR="00B45FEE" w:rsidRPr="000F4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 с увеличением количественных показателей экономических факторов (увеличение безрисковой ставки и ставки дисконтирования, повышение ставки рисков, связанных с ведением сельского хозяйства).</w:t>
      </w:r>
    </w:p>
    <w:p w14:paraId="50764939" w14:textId="369FD6C3" w:rsidR="00BB743B" w:rsidRDefault="00BB743B" w:rsidP="00BB743B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921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Земельные участки с отсутствующей кадастровой стоимостью (</w:t>
      </w:r>
      <w:r w:rsidR="00624A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921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земельных участк</w:t>
      </w:r>
      <w:r w:rsidR="00624A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21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по результатам государственной кадастровой оценки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921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суммарная кадастровая стоимость изменилась с 0 рублей на </w:t>
      </w:r>
      <w:r w:rsidR="00624A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6,19</w:t>
      </w:r>
      <w:r w:rsidRPr="00921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млн. рублей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4E3DE74" w14:textId="52CB073C" w:rsidR="00BB743B" w:rsidRDefault="00624A6D" w:rsidP="00BB743B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BB7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BB743B" w:rsidRPr="00416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адастровая стоимость </w:t>
      </w:r>
      <w:r w:rsidR="007B0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земельных участков </w:t>
      </w:r>
      <w:r w:rsidR="00BB7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общественного использования </w:t>
      </w:r>
      <w:r w:rsidR="00BB743B" w:rsidRPr="00416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BB7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величил</w:t>
      </w:r>
      <w:r w:rsidR="00BB743B" w:rsidRPr="00416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ась </w:t>
      </w:r>
      <w:r w:rsidR="00B45FEE"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B4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1,54</w:t>
      </w:r>
      <w:r w:rsidR="00B45FEE"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</w:t>
      </w:r>
      <w:r w:rsidR="00B4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B45FEE"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 </w:t>
      </w:r>
      <w:r w:rsidR="00B4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16,85</w:t>
      </w:r>
      <w:r w:rsidR="00B45FEE"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млн.</w:t>
      </w:r>
      <w:r w:rsidR="00B45FEE">
        <w:rPr>
          <w:rFonts w:ascii="Times New Roman" w:hAnsi="Times New Roman"/>
          <w:sz w:val="28"/>
          <w:szCs w:val="28"/>
        </w:rPr>
        <w:t> </w:t>
      </w:r>
      <w:r w:rsidR="00B4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рублей</w:t>
      </w:r>
      <w:r w:rsidR="00B45FEE"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r w:rsidR="00B4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25,85</w:t>
      </w:r>
      <w:r w:rsidR="00B45FEE"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млн.</w:t>
      </w:r>
      <w:r w:rsidR="00B45FEE">
        <w:rPr>
          <w:rFonts w:ascii="Times New Roman" w:hAnsi="Times New Roman"/>
          <w:sz w:val="28"/>
          <w:szCs w:val="28"/>
        </w:rPr>
        <w:t> </w:t>
      </w:r>
      <w:r w:rsidR="00B4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рублей</w:t>
      </w:r>
      <w:r w:rsidR="00B45FEE" w:rsidRPr="007236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BB7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связи с тем, что в качестве </w:t>
      </w:r>
      <w:r w:rsidR="00BB743B" w:rsidRPr="00EF29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объектов аналогов были приняты объекты</w:t>
      </w:r>
      <w:r w:rsidR="00BB7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аналоги из предпринимательства</w:t>
      </w:r>
      <w:r w:rsidR="00BB743B" w:rsidRPr="00EF29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корректировкой на вид разрешенного использования. Решение об использовании в качестве </w:t>
      </w:r>
      <w:r w:rsidR="00BB7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объектов</w:t>
      </w:r>
      <w:r w:rsidR="00BB743B" w:rsidRPr="00EF29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аналогов земельных участков из </w:t>
      </w:r>
      <w:r w:rsidR="00BB7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предпринимательства</w:t>
      </w:r>
      <w:r w:rsidR="00BB743B" w:rsidRPr="00EF29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обусловлено тем, что рыночная стоимость земельных участков для общественного использования формируется, как правило, под влиянием тех же факторов, что и земельные участки, относящихся к </w:t>
      </w:r>
      <w:r w:rsidR="00BB7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предпринимательству</w:t>
      </w:r>
      <w:r w:rsidR="00BB743B" w:rsidRPr="00EF29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213B52D" w14:textId="232751D6" w:rsidR="00102591" w:rsidRPr="008014C9" w:rsidRDefault="00102591" w:rsidP="00102591">
      <w:pPr>
        <w:spacing w:after="0" w:line="276" w:lineRule="auto"/>
        <w:ind w:firstLine="709"/>
        <w:jc w:val="both"/>
        <w:rPr>
          <w:color w:val="000000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К</w:t>
      </w:r>
      <w:r w:rsidRPr="00416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адастровая стоимость </w:t>
      </w:r>
      <w:r w:rsidR="007B0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земельных участков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индивидуальной, малоэтажной жилой застройки </w:t>
      </w:r>
      <w:r w:rsidRPr="00416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величил</w:t>
      </w:r>
      <w:r w:rsidRPr="00416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ась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</w:t>
      </w:r>
      <w:r w:rsidR="00BB1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416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 (с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164,37</w:t>
      </w:r>
      <w:r w:rsidRPr="00416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млн. рублей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221,8</w:t>
      </w:r>
      <w:r w:rsidRPr="00416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млн. рублей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в связи с тем, что р</w:t>
      </w:r>
      <w:r w:rsidRPr="004830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ыночная стоимость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данных з</w:t>
      </w:r>
      <w:r w:rsidRPr="004830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емельных участков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увеличилась на рынке недвижимости, также зависит от таких факторов как расстояние от села до районного центра, численность жителей населенного пункта, расстояние от населенного пункта до г. Кызыла.</w:t>
      </w:r>
    </w:p>
    <w:p w14:paraId="14DA04AD" w14:textId="50C90025" w:rsidR="00BB743B" w:rsidRDefault="00102591" w:rsidP="00BB743B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BB7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BB743B" w:rsidRPr="004830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Кадастровая стоимость земельных участков для автомобильных дорог, связи, железнодорожных путей рассчитывал</w:t>
      </w:r>
      <w:r w:rsidR="00BB7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ась</w:t>
      </w:r>
      <w:r w:rsidR="00BB743B" w:rsidRPr="004830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использованием значений </w:t>
      </w:r>
      <w:r w:rsidR="00BB7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удельного показателя кадастровой стоимости</w:t>
      </w:r>
      <w:r w:rsidR="00BB743B" w:rsidRPr="004830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земельных участков, граничащих с указанными земельными участками, </w:t>
      </w:r>
      <w:r w:rsidR="00BB7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методическим </w:t>
      </w:r>
      <w:r w:rsidR="00BB7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указаниям, в связи с чем</w:t>
      </w:r>
      <w:r w:rsidR="00BB743B" w:rsidRPr="006230FC">
        <w:rPr>
          <w:rFonts w:ascii="Times New Roman" w:eastAsia="Times New Roman" w:hAnsi="Times New Roman"/>
          <w:sz w:val="28"/>
          <w:szCs w:val="28"/>
          <w:lang w:eastAsia="ru-RU"/>
        </w:rPr>
        <w:t xml:space="preserve"> кадастров</w:t>
      </w:r>
      <w:r w:rsidR="00BB743B">
        <w:rPr>
          <w:rFonts w:ascii="Times New Roman" w:eastAsia="Times New Roman" w:hAnsi="Times New Roman"/>
          <w:sz w:val="28"/>
          <w:szCs w:val="28"/>
          <w:lang w:eastAsia="ru-RU"/>
        </w:rPr>
        <w:t>ая стоимость увеличилась в 3</w:t>
      </w:r>
      <w:r w:rsidR="00BB743B" w:rsidRPr="006230F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</w:t>
      </w:r>
      <w:r w:rsidR="0051726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B743B" w:rsidRPr="006230FC">
        <w:rPr>
          <w:rFonts w:ascii="Times New Roman" w:eastAsia="Times New Roman" w:hAnsi="Times New Roman"/>
          <w:sz w:val="28"/>
          <w:szCs w:val="28"/>
          <w:lang w:eastAsia="ru-RU"/>
        </w:rPr>
        <w:t xml:space="preserve"> (с</w:t>
      </w:r>
      <w:r w:rsidR="00BB74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4A6D">
        <w:rPr>
          <w:rFonts w:ascii="Times New Roman" w:eastAsia="Times New Roman" w:hAnsi="Times New Roman"/>
          <w:sz w:val="28"/>
          <w:szCs w:val="28"/>
          <w:lang w:eastAsia="ru-RU"/>
        </w:rPr>
        <w:t>9,38</w:t>
      </w:r>
      <w:r w:rsidR="00BB743B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рублей до 2</w:t>
      </w:r>
      <w:r w:rsidR="00624A6D">
        <w:rPr>
          <w:rFonts w:ascii="Times New Roman" w:eastAsia="Times New Roman" w:hAnsi="Times New Roman"/>
          <w:sz w:val="28"/>
          <w:szCs w:val="28"/>
          <w:lang w:eastAsia="ru-RU"/>
        </w:rPr>
        <w:t>8,16</w:t>
      </w:r>
      <w:r w:rsidR="00BB743B">
        <w:rPr>
          <w:rFonts w:ascii="Times New Roman" w:eastAsia="Times New Roman" w:hAnsi="Times New Roman"/>
          <w:sz w:val="28"/>
          <w:szCs w:val="28"/>
          <w:lang w:eastAsia="ru-RU"/>
        </w:rPr>
        <w:t xml:space="preserve"> млн</w:t>
      </w:r>
      <w:r w:rsidR="00BB743B" w:rsidRPr="006230FC">
        <w:rPr>
          <w:rFonts w:ascii="Times New Roman" w:eastAsia="Times New Roman" w:hAnsi="Times New Roman"/>
          <w:sz w:val="28"/>
          <w:szCs w:val="28"/>
          <w:lang w:eastAsia="ru-RU"/>
        </w:rPr>
        <w:t>. рублей).</w:t>
      </w:r>
    </w:p>
    <w:p w14:paraId="1843D20E" w14:textId="68F2A778" w:rsidR="00BB743B" w:rsidRDefault="00102591" w:rsidP="00B6194B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BB7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</w:t>
      </w:r>
      <w:r w:rsidR="00BB743B" w:rsidRPr="00416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адастровая стоимость </w:t>
      </w:r>
      <w:r w:rsidR="009A22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земельных участков </w:t>
      </w:r>
      <w:r w:rsidR="00BB7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</w:t>
      </w:r>
      <w:r w:rsidR="007E42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отдыха (рекреации)</w:t>
      </w:r>
      <w:r w:rsidR="00BB7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B743B" w:rsidRPr="00416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BB7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величил</w:t>
      </w:r>
      <w:r w:rsidR="00BB743B" w:rsidRPr="00416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ась в </w:t>
      </w:r>
      <w:r w:rsidR="007E42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2,26</w:t>
      </w:r>
      <w:r w:rsidR="00BB743B" w:rsidRPr="00416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 (с </w:t>
      </w:r>
      <w:r w:rsidR="007E42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0,29</w:t>
      </w:r>
      <w:r w:rsidR="00BB743B" w:rsidRPr="00416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млн. рублей до </w:t>
      </w:r>
      <w:r w:rsidR="007E42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0,65</w:t>
      </w:r>
      <w:r w:rsidR="00BB743B" w:rsidRPr="00416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млн. рублей</w:t>
      </w:r>
      <w:r w:rsidR="00BB7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B4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B45FEE" w:rsidRPr="00B4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FEE" w:rsidRPr="000F4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</w:t>
      </w:r>
      <w:r w:rsidR="00B4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</w:t>
      </w:r>
      <w:r w:rsidR="00B45FEE" w:rsidRPr="000F4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енением рыночной стоимости данных земельных участков на рынке недвижимости. Основными ценообразующими факторами являются: местоположение, площадь (фактор масштаба), дата предложения/сделки, к</w:t>
      </w:r>
      <w:r w:rsidR="00B4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атегория земель</w:t>
      </w:r>
      <w:r w:rsidR="00B45FEE" w:rsidRPr="000F4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C6CC284" w14:textId="1D2BD9F4" w:rsidR="002B5E0A" w:rsidRPr="008014C9" w:rsidRDefault="009C4B3D" w:rsidP="00B6194B">
      <w:pPr>
        <w:spacing w:after="0" w:line="276" w:lineRule="auto"/>
        <w:ind w:firstLine="709"/>
        <w:jc w:val="both"/>
        <w:rPr>
          <w:color w:val="000000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</w:t>
      </w:r>
      <w:r w:rsidRPr="009C4B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Кадастровая стоимость земельных участков для специального, ритуального использования в </w:t>
      </w:r>
      <w:r w:rsidR="00B4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1,25</w:t>
      </w:r>
      <w:r w:rsidRPr="009C4B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раза (с 24,23 млн. рублей до 19,37 млн. рублей)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B45FEE" w:rsidRPr="000F4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 с тем, что в качестве объектов аналогов были использованы земельные участки под объекты производственной деятельности с корректировкой на вид разрешенного использования. Решение об использовании в качестве объектов аналогов земельных участков из производственной деятельности обусловлено тем, что рыночная стоимость земельных участков для специального и ритуального использования формируется, как правило, под влиянием тех же факторов, что и земельные участки, относящихся к предпринимательству.</w:t>
      </w:r>
    </w:p>
    <w:sectPr w:rsidR="002B5E0A" w:rsidRPr="008014C9" w:rsidSect="008151C5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E0A81" w14:textId="77777777" w:rsidR="001770F9" w:rsidRDefault="001770F9" w:rsidP="003E40A5">
      <w:pPr>
        <w:spacing w:after="0" w:line="240" w:lineRule="auto"/>
      </w:pPr>
      <w:r>
        <w:separator/>
      </w:r>
    </w:p>
  </w:endnote>
  <w:endnote w:type="continuationSeparator" w:id="0">
    <w:p w14:paraId="3A764C94" w14:textId="77777777" w:rsidR="001770F9" w:rsidRDefault="001770F9" w:rsidP="003E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98D07" w14:textId="77777777" w:rsidR="001770F9" w:rsidRDefault="001770F9" w:rsidP="003E40A5">
      <w:pPr>
        <w:spacing w:after="0" w:line="240" w:lineRule="auto"/>
      </w:pPr>
      <w:r>
        <w:separator/>
      </w:r>
    </w:p>
  </w:footnote>
  <w:footnote w:type="continuationSeparator" w:id="0">
    <w:p w14:paraId="324B576A" w14:textId="77777777" w:rsidR="001770F9" w:rsidRDefault="001770F9" w:rsidP="003E4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35E01"/>
    <w:multiLevelType w:val="hybridMultilevel"/>
    <w:tmpl w:val="6420A5AE"/>
    <w:lvl w:ilvl="0" w:tplc="57083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7A29EE"/>
    <w:multiLevelType w:val="hybridMultilevel"/>
    <w:tmpl w:val="33105168"/>
    <w:lvl w:ilvl="0" w:tplc="AE28AA6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56625171">
    <w:abstractNumId w:val="1"/>
  </w:num>
  <w:num w:numId="2" w16cid:durableId="92290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CB"/>
    <w:rsid w:val="00000500"/>
    <w:rsid w:val="000047F5"/>
    <w:rsid w:val="00006B96"/>
    <w:rsid w:val="00025089"/>
    <w:rsid w:val="000259C6"/>
    <w:rsid w:val="000322E7"/>
    <w:rsid w:val="00037B0A"/>
    <w:rsid w:val="00046394"/>
    <w:rsid w:val="00057E2B"/>
    <w:rsid w:val="00081B19"/>
    <w:rsid w:val="000905A8"/>
    <w:rsid w:val="000977DC"/>
    <w:rsid w:val="000D0A83"/>
    <w:rsid w:val="000D0AB8"/>
    <w:rsid w:val="000D7EC7"/>
    <w:rsid w:val="000F1479"/>
    <w:rsid w:val="001010DC"/>
    <w:rsid w:val="00102591"/>
    <w:rsid w:val="00103CB0"/>
    <w:rsid w:val="00114FBA"/>
    <w:rsid w:val="0012644B"/>
    <w:rsid w:val="001266E8"/>
    <w:rsid w:val="0016314B"/>
    <w:rsid w:val="00175B70"/>
    <w:rsid w:val="001770F9"/>
    <w:rsid w:val="0018019D"/>
    <w:rsid w:val="00181A90"/>
    <w:rsid w:val="00183EFF"/>
    <w:rsid w:val="001A1590"/>
    <w:rsid w:val="001B0D4B"/>
    <w:rsid w:val="001B40FE"/>
    <w:rsid w:val="001D2357"/>
    <w:rsid w:val="001E0D73"/>
    <w:rsid w:val="001F2807"/>
    <w:rsid w:val="001F374C"/>
    <w:rsid w:val="001F6E5B"/>
    <w:rsid w:val="0021141F"/>
    <w:rsid w:val="00222477"/>
    <w:rsid w:val="0024076E"/>
    <w:rsid w:val="0024796F"/>
    <w:rsid w:val="00253697"/>
    <w:rsid w:val="0025664F"/>
    <w:rsid w:val="00274A4C"/>
    <w:rsid w:val="0028063E"/>
    <w:rsid w:val="002921BB"/>
    <w:rsid w:val="002A00B9"/>
    <w:rsid w:val="002A3C9C"/>
    <w:rsid w:val="002A55C5"/>
    <w:rsid w:val="002A7440"/>
    <w:rsid w:val="002B5E0A"/>
    <w:rsid w:val="002C3001"/>
    <w:rsid w:val="002D36E5"/>
    <w:rsid w:val="002D5B8E"/>
    <w:rsid w:val="002E4C79"/>
    <w:rsid w:val="002F0A19"/>
    <w:rsid w:val="00302992"/>
    <w:rsid w:val="00304A99"/>
    <w:rsid w:val="00305E30"/>
    <w:rsid w:val="0032324B"/>
    <w:rsid w:val="00341963"/>
    <w:rsid w:val="00343099"/>
    <w:rsid w:val="00351417"/>
    <w:rsid w:val="0035234D"/>
    <w:rsid w:val="00361BF8"/>
    <w:rsid w:val="00377BB9"/>
    <w:rsid w:val="00381BBE"/>
    <w:rsid w:val="00392A49"/>
    <w:rsid w:val="003A3690"/>
    <w:rsid w:val="003B1BFC"/>
    <w:rsid w:val="003E0DA7"/>
    <w:rsid w:val="003E3304"/>
    <w:rsid w:val="003E40A5"/>
    <w:rsid w:val="003F0317"/>
    <w:rsid w:val="003F16FC"/>
    <w:rsid w:val="00404697"/>
    <w:rsid w:val="004118E7"/>
    <w:rsid w:val="00412409"/>
    <w:rsid w:val="004209F6"/>
    <w:rsid w:val="00433E7F"/>
    <w:rsid w:val="004563C7"/>
    <w:rsid w:val="004830E2"/>
    <w:rsid w:val="00490193"/>
    <w:rsid w:val="004A2652"/>
    <w:rsid w:val="004A3E1F"/>
    <w:rsid w:val="004B6F2C"/>
    <w:rsid w:val="004E36E3"/>
    <w:rsid w:val="005037B5"/>
    <w:rsid w:val="0050716F"/>
    <w:rsid w:val="00512997"/>
    <w:rsid w:val="00513B57"/>
    <w:rsid w:val="00517262"/>
    <w:rsid w:val="0052636C"/>
    <w:rsid w:val="0056171D"/>
    <w:rsid w:val="00565683"/>
    <w:rsid w:val="0056771F"/>
    <w:rsid w:val="005707FF"/>
    <w:rsid w:val="005764DC"/>
    <w:rsid w:val="00596891"/>
    <w:rsid w:val="005B4009"/>
    <w:rsid w:val="005C2C20"/>
    <w:rsid w:val="005C74DD"/>
    <w:rsid w:val="005D02C7"/>
    <w:rsid w:val="005F11E6"/>
    <w:rsid w:val="00601072"/>
    <w:rsid w:val="00624011"/>
    <w:rsid w:val="00624A6D"/>
    <w:rsid w:val="00636025"/>
    <w:rsid w:val="0064023A"/>
    <w:rsid w:val="00647161"/>
    <w:rsid w:val="00652B59"/>
    <w:rsid w:val="00660E84"/>
    <w:rsid w:val="0066332B"/>
    <w:rsid w:val="006713D1"/>
    <w:rsid w:val="006901EB"/>
    <w:rsid w:val="006A277F"/>
    <w:rsid w:val="006A4578"/>
    <w:rsid w:val="006B01CA"/>
    <w:rsid w:val="006B6235"/>
    <w:rsid w:val="006E2E75"/>
    <w:rsid w:val="006E4C61"/>
    <w:rsid w:val="006F254A"/>
    <w:rsid w:val="00701321"/>
    <w:rsid w:val="007236BF"/>
    <w:rsid w:val="00724827"/>
    <w:rsid w:val="00735C0B"/>
    <w:rsid w:val="00741D09"/>
    <w:rsid w:val="00744438"/>
    <w:rsid w:val="00755790"/>
    <w:rsid w:val="007564A8"/>
    <w:rsid w:val="0076177B"/>
    <w:rsid w:val="007667F8"/>
    <w:rsid w:val="00772924"/>
    <w:rsid w:val="00781564"/>
    <w:rsid w:val="00786465"/>
    <w:rsid w:val="0079348A"/>
    <w:rsid w:val="00795AF6"/>
    <w:rsid w:val="007A2998"/>
    <w:rsid w:val="007A4A69"/>
    <w:rsid w:val="007B0B8E"/>
    <w:rsid w:val="007C24EC"/>
    <w:rsid w:val="007D5A86"/>
    <w:rsid w:val="007E42DA"/>
    <w:rsid w:val="007E7858"/>
    <w:rsid w:val="007F00F2"/>
    <w:rsid w:val="007F1856"/>
    <w:rsid w:val="008014C9"/>
    <w:rsid w:val="00804329"/>
    <w:rsid w:val="00810979"/>
    <w:rsid w:val="0081181F"/>
    <w:rsid w:val="008151C5"/>
    <w:rsid w:val="00832576"/>
    <w:rsid w:val="00837FA2"/>
    <w:rsid w:val="00862CB2"/>
    <w:rsid w:val="008C4C9D"/>
    <w:rsid w:val="008C503A"/>
    <w:rsid w:val="008D6C0F"/>
    <w:rsid w:val="008E266A"/>
    <w:rsid w:val="008E50D1"/>
    <w:rsid w:val="008F5E8C"/>
    <w:rsid w:val="008F7486"/>
    <w:rsid w:val="0091020D"/>
    <w:rsid w:val="00910683"/>
    <w:rsid w:val="00911BEE"/>
    <w:rsid w:val="00924983"/>
    <w:rsid w:val="00932CA3"/>
    <w:rsid w:val="009433AC"/>
    <w:rsid w:val="00953F01"/>
    <w:rsid w:val="00972315"/>
    <w:rsid w:val="00972607"/>
    <w:rsid w:val="00992D3E"/>
    <w:rsid w:val="009A2206"/>
    <w:rsid w:val="009A4471"/>
    <w:rsid w:val="009B3D43"/>
    <w:rsid w:val="009B5CDF"/>
    <w:rsid w:val="009C27C8"/>
    <w:rsid w:val="009C4B3D"/>
    <w:rsid w:val="009C4C6B"/>
    <w:rsid w:val="009D43A6"/>
    <w:rsid w:val="009D5208"/>
    <w:rsid w:val="009E3B39"/>
    <w:rsid w:val="009E4580"/>
    <w:rsid w:val="009E5BAF"/>
    <w:rsid w:val="00A05CFD"/>
    <w:rsid w:val="00A1469F"/>
    <w:rsid w:val="00A27449"/>
    <w:rsid w:val="00A35307"/>
    <w:rsid w:val="00A44AF1"/>
    <w:rsid w:val="00A504A4"/>
    <w:rsid w:val="00A6133A"/>
    <w:rsid w:val="00A6438B"/>
    <w:rsid w:val="00A7097B"/>
    <w:rsid w:val="00A7738D"/>
    <w:rsid w:val="00A836F5"/>
    <w:rsid w:val="00A95616"/>
    <w:rsid w:val="00AA60C8"/>
    <w:rsid w:val="00AB350E"/>
    <w:rsid w:val="00AB5B73"/>
    <w:rsid w:val="00AB6EB7"/>
    <w:rsid w:val="00AB72D8"/>
    <w:rsid w:val="00AD2C20"/>
    <w:rsid w:val="00AD3EE7"/>
    <w:rsid w:val="00AE5968"/>
    <w:rsid w:val="00B037FC"/>
    <w:rsid w:val="00B1317C"/>
    <w:rsid w:val="00B21329"/>
    <w:rsid w:val="00B27756"/>
    <w:rsid w:val="00B3132E"/>
    <w:rsid w:val="00B3167E"/>
    <w:rsid w:val="00B33BAC"/>
    <w:rsid w:val="00B437C9"/>
    <w:rsid w:val="00B45FEE"/>
    <w:rsid w:val="00B47E24"/>
    <w:rsid w:val="00B6194B"/>
    <w:rsid w:val="00B64C9F"/>
    <w:rsid w:val="00B66ED6"/>
    <w:rsid w:val="00B72102"/>
    <w:rsid w:val="00B86453"/>
    <w:rsid w:val="00BA3374"/>
    <w:rsid w:val="00BB0873"/>
    <w:rsid w:val="00BB1B64"/>
    <w:rsid w:val="00BB2632"/>
    <w:rsid w:val="00BB2FC8"/>
    <w:rsid w:val="00BB3FCE"/>
    <w:rsid w:val="00BB743B"/>
    <w:rsid w:val="00BC6F2D"/>
    <w:rsid w:val="00BD0041"/>
    <w:rsid w:val="00BD1527"/>
    <w:rsid w:val="00BD25BE"/>
    <w:rsid w:val="00BE09A4"/>
    <w:rsid w:val="00BE5D63"/>
    <w:rsid w:val="00BF5C33"/>
    <w:rsid w:val="00C23011"/>
    <w:rsid w:val="00C26D45"/>
    <w:rsid w:val="00C33499"/>
    <w:rsid w:val="00C515FA"/>
    <w:rsid w:val="00C5615A"/>
    <w:rsid w:val="00C60157"/>
    <w:rsid w:val="00C6222C"/>
    <w:rsid w:val="00C62747"/>
    <w:rsid w:val="00C71AE7"/>
    <w:rsid w:val="00C87944"/>
    <w:rsid w:val="00C97849"/>
    <w:rsid w:val="00CB1201"/>
    <w:rsid w:val="00CD0B61"/>
    <w:rsid w:val="00CD1CF3"/>
    <w:rsid w:val="00CF1B1C"/>
    <w:rsid w:val="00D047AB"/>
    <w:rsid w:val="00D165F7"/>
    <w:rsid w:val="00D23C63"/>
    <w:rsid w:val="00D361A2"/>
    <w:rsid w:val="00D44CCB"/>
    <w:rsid w:val="00D5288C"/>
    <w:rsid w:val="00D649E3"/>
    <w:rsid w:val="00D65111"/>
    <w:rsid w:val="00D67A91"/>
    <w:rsid w:val="00D8040C"/>
    <w:rsid w:val="00D90E00"/>
    <w:rsid w:val="00D93E09"/>
    <w:rsid w:val="00D9460C"/>
    <w:rsid w:val="00D94742"/>
    <w:rsid w:val="00DA371B"/>
    <w:rsid w:val="00DA6700"/>
    <w:rsid w:val="00DB4305"/>
    <w:rsid w:val="00DC1083"/>
    <w:rsid w:val="00DD048A"/>
    <w:rsid w:val="00DD5C42"/>
    <w:rsid w:val="00DD7617"/>
    <w:rsid w:val="00DF78FD"/>
    <w:rsid w:val="00E00CFA"/>
    <w:rsid w:val="00E0374E"/>
    <w:rsid w:val="00E14264"/>
    <w:rsid w:val="00E31A9C"/>
    <w:rsid w:val="00E3325A"/>
    <w:rsid w:val="00E34A07"/>
    <w:rsid w:val="00E35CAE"/>
    <w:rsid w:val="00E410F8"/>
    <w:rsid w:val="00E6780C"/>
    <w:rsid w:val="00E80A1E"/>
    <w:rsid w:val="00E84594"/>
    <w:rsid w:val="00E91655"/>
    <w:rsid w:val="00E91D68"/>
    <w:rsid w:val="00EB0D2B"/>
    <w:rsid w:val="00EB5EC6"/>
    <w:rsid w:val="00EC36E5"/>
    <w:rsid w:val="00EC53F1"/>
    <w:rsid w:val="00ED0BFD"/>
    <w:rsid w:val="00ED16B3"/>
    <w:rsid w:val="00EE2F38"/>
    <w:rsid w:val="00EE3C6F"/>
    <w:rsid w:val="00EF6E7F"/>
    <w:rsid w:val="00F01670"/>
    <w:rsid w:val="00F16896"/>
    <w:rsid w:val="00F22894"/>
    <w:rsid w:val="00F24295"/>
    <w:rsid w:val="00F454B1"/>
    <w:rsid w:val="00F54EB7"/>
    <w:rsid w:val="00F62B2E"/>
    <w:rsid w:val="00F66631"/>
    <w:rsid w:val="00F66D8D"/>
    <w:rsid w:val="00F719EA"/>
    <w:rsid w:val="00F7639A"/>
    <w:rsid w:val="00F837CE"/>
    <w:rsid w:val="00F85A9B"/>
    <w:rsid w:val="00FB267F"/>
    <w:rsid w:val="00FC31EC"/>
    <w:rsid w:val="00FC4D7E"/>
    <w:rsid w:val="00FC664B"/>
    <w:rsid w:val="00FD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DF4F"/>
  <w15:docId w15:val="{784395B8-7BFF-4607-B0DF-C4B64546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5A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8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4">
    <w:name w:val="footnote reference"/>
    <w:basedOn w:val="a0"/>
    <w:uiPriority w:val="99"/>
    <w:semiHidden/>
    <w:unhideWhenUsed/>
    <w:rsid w:val="003E40A5"/>
    <w:rPr>
      <w:vertAlign w:val="superscript"/>
    </w:rPr>
  </w:style>
  <w:style w:type="table" w:styleId="a5">
    <w:name w:val="Table Grid"/>
    <w:basedOn w:val="a1"/>
    <w:uiPriority w:val="39"/>
    <w:rsid w:val="0042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40469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507B9-AEFC-4992-AC88-5F841426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Ооржак Ая Яковлевна</cp:lastModifiedBy>
  <cp:revision>62</cp:revision>
  <cp:lastPrinted>2021-08-27T08:56:00Z</cp:lastPrinted>
  <dcterms:created xsi:type="dcterms:W3CDTF">2021-08-26T04:46:00Z</dcterms:created>
  <dcterms:modified xsi:type="dcterms:W3CDTF">2022-10-19T10:08:00Z</dcterms:modified>
</cp:coreProperties>
</file>